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2285"/>
        <w:gridCol w:w="2108"/>
      </w:tblGrid>
      <w:tr w:rsidR="005432C3" w:rsidRPr="00FD29EB" w14:paraId="121F20A6" w14:textId="77777777" w:rsidTr="00A61B09">
        <w:trPr>
          <w:jc w:val="center"/>
        </w:trPr>
        <w:tc>
          <w:tcPr>
            <w:tcW w:w="1190" w:type="dxa"/>
            <w:vAlign w:val="center"/>
          </w:tcPr>
          <w:p w14:paraId="1D32CF87" w14:textId="77777777" w:rsidR="005432C3" w:rsidRPr="00FD29EB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bookmarkStart w:id="0" w:name="_Hlk78219390"/>
            <w:r w:rsidRPr="00FD29EB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4F34356E" wp14:editId="20F28E7C">
                  <wp:extent cx="701675" cy="701675"/>
                  <wp:effectExtent l="0" t="0" r="9525" b="9525"/>
                  <wp:docPr id="1" name="Picture 1" descr="Description: Description: ASEAN Logo (for Computer Scre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ASEAN Logo (for Computer Scre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vAlign w:val="center"/>
          </w:tcPr>
          <w:p w14:paraId="415042DD" w14:textId="77777777" w:rsidR="005432C3" w:rsidRPr="00FD29EB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r w:rsidRPr="00FD29EB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1450F681" wp14:editId="010D62F9">
                  <wp:extent cx="1095375" cy="552450"/>
                  <wp:effectExtent l="0" t="0" r="9525" b="0"/>
                  <wp:docPr id="2" name="Picture 4" descr="Description: Description: Description: National Flag of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National Flag of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vAlign w:val="center"/>
          </w:tcPr>
          <w:p w14:paraId="3F21E370" w14:textId="77777777" w:rsidR="005432C3" w:rsidRPr="00FD29EB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r w:rsidRPr="00FD29EB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799A8F18" wp14:editId="3970851B">
                  <wp:extent cx="1047750" cy="563413"/>
                  <wp:effectExtent l="0" t="0" r="0" b="8255"/>
                  <wp:docPr id="3" name="Picture 5" descr="Description: Description: Description: National Flag of New 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National Flag of New 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40DCB" w14:textId="48462392" w:rsidR="00323C3B" w:rsidRDefault="00323C3B"/>
    <w:p w14:paraId="456432FA" w14:textId="0B3EEBC0" w:rsidR="005432C3" w:rsidRDefault="005432C3" w:rsidP="005432C3">
      <w:pPr>
        <w:pStyle w:val="Title"/>
        <w:tabs>
          <w:tab w:val="left" w:pos="2268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ASEAN-AUSTRALIA-NEW ZEALAND FREE TRADE AREA (AANZFTA)</w:t>
      </w:r>
    </w:p>
    <w:p w14:paraId="07E6DBFA" w14:textId="3E91B447" w:rsidR="005432C3" w:rsidRDefault="005432C3" w:rsidP="005432C3">
      <w:pPr>
        <w:pStyle w:val="Title"/>
        <w:tabs>
          <w:tab w:val="left" w:pos="2268"/>
        </w:tabs>
        <w:rPr>
          <w:rFonts w:cs="Arial"/>
          <w:color w:val="000000" w:themeColor="text1"/>
          <w:sz w:val="24"/>
          <w:szCs w:val="24"/>
        </w:rPr>
      </w:pPr>
    </w:p>
    <w:p w14:paraId="4940C4B0" w14:textId="7DFABC35" w:rsidR="00347FE0" w:rsidRPr="00F10EAD" w:rsidRDefault="00347FE0" w:rsidP="00347FE0">
      <w:pPr>
        <w:pStyle w:val="Title"/>
        <w:tabs>
          <w:tab w:val="left" w:pos="2268"/>
        </w:tabs>
        <w:rPr>
          <w:rFonts w:cs="Arial"/>
          <w:color w:val="000000"/>
          <w:sz w:val="24"/>
          <w:szCs w:val="24"/>
        </w:rPr>
      </w:pPr>
      <w:r w:rsidRPr="00F10EAD">
        <w:rPr>
          <w:rFonts w:cs="Arial"/>
          <w:color w:val="000000"/>
          <w:sz w:val="24"/>
          <w:szCs w:val="24"/>
        </w:rPr>
        <w:t xml:space="preserve">THE </w:t>
      </w:r>
      <w:r w:rsidR="00F13963">
        <w:rPr>
          <w:rFonts w:cs="Arial"/>
          <w:color w:val="000000"/>
          <w:sz w:val="24"/>
          <w:szCs w:val="24"/>
        </w:rPr>
        <w:t>SEVENTEENTH</w:t>
      </w:r>
      <w:r w:rsidRPr="00F10EAD">
        <w:rPr>
          <w:rFonts w:cs="Arial"/>
          <w:color w:val="000000"/>
          <w:sz w:val="24"/>
          <w:szCs w:val="24"/>
        </w:rPr>
        <w:t xml:space="preserve"> MEETING OF THE ASEAN-AUSTRALIA-NEW ZEALAND </w:t>
      </w:r>
      <w:bookmarkStart w:id="1" w:name="_Hlk98499093"/>
      <w:r w:rsidRPr="00F10EAD">
        <w:rPr>
          <w:rFonts w:cs="Arial"/>
          <w:color w:val="000000"/>
          <w:sz w:val="24"/>
          <w:szCs w:val="24"/>
        </w:rPr>
        <w:t>FREE TRADE AREA (AANZFTA) JOINT COMMITTEE</w:t>
      </w:r>
      <w:bookmarkEnd w:id="1"/>
      <w:r w:rsidRPr="00F10EAD">
        <w:rPr>
          <w:rFonts w:cs="Arial"/>
          <w:color w:val="000000"/>
          <w:sz w:val="24"/>
          <w:szCs w:val="24"/>
        </w:rPr>
        <w:t xml:space="preserve"> (1</w:t>
      </w:r>
      <w:r w:rsidR="00F13963">
        <w:rPr>
          <w:rFonts w:cs="Arial"/>
          <w:color w:val="000000"/>
          <w:sz w:val="24"/>
          <w:szCs w:val="24"/>
        </w:rPr>
        <w:t>7</w:t>
      </w:r>
      <w:r w:rsidRPr="00F10EAD">
        <w:rPr>
          <w:rFonts w:cs="Arial"/>
          <w:color w:val="000000"/>
          <w:sz w:val="24"/>
          <w:szCs w:val="24"/>
          <w:vertAlign w:val="superscript"/>
        </w:rPr>
        <w:t>TH</w:t>
      </w:r>
      <w:r w:rsidRPr="00F10EAD">
        <w:rPr>
          <w:rFonts w:cs="Arial"/>
          <w:color w:val="000000"/>
          <w:sz w:val="24"/>
          <w:szCs w:val="24"/>
        </w:rPr>
        <w:t xml:space="preserve"> FJC)</w:t>
      </w:r>
    </w:p>
    <w:bookmarkEnd w:id="0"/>
    <w:p w14:paraId="04FC1B5D" w14:textId="77777777" w:rsidR="006B54A8" w:rsidRPr="006B54A8" w:rsidRDefault="006B54A8" w:rsidP="006B54A8">
      <w:pPr>
        <w:pStyle w:val="Title"/>
        <w:tabs>
          <w:tab w:val="left" w:pos="2268"/>
        </w:tabs>
        <w:rPr>
          <w:rFonts w:cs="Arial"/>
          <w:b w:val="0"/>
          <w:color w:val="000000"/>
          <w:sz w:val="24"/>
          <w:szCs w:val="24"/>
        </w:rPr>
      </w:pPr>
      <w:r w:rsidRPr="006B54A8">
        <w:rPr>
          <w:rFonts w:cs="Arial"/>
          <w:b w:val="0"/>
          <w:color w:val="000000"/>
          <w:sz w:val="24"/>
          <w:szCs w:val="24"/>
        </w:rPr>
        <w:t>16-17 June 2022, Hybrid Meeting, Jakarta</w:t>
      </w:r>
    </w:p>
    <w:p w14:paraId="596E5A8E" w14:textId="7994D538" w:rsidR="005432C3" w:rsidRDefault="005432C3" w:rsidP="005432C3">
      <w:pPr>
        <w:pStyle w:val="Title"/>
        <w:tabs>
          <w:tab w:val="left" w:pos="2268"/>
        </w:tabs>
        <w:jc w:val="both"/>
        <w:rPr>
          <w:rFonts w:cs="Arial"/>
          <w:color w:val="000000" w:themeColor="text1"/>
          <w:sz w:val="24"/>
          <w:szCs w:val="24"/>
        </w:rPr>
      </w:pPr>
    </w:p>
    <w:p w14:paraId="01590C80" w14:textId="77777777" w:rsidR="0034662E" w:rsidRDefault="0034662E" w:rsidP="0034662E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382F5EB2" w14:textId="06B7073A" w:rsidR="006B54A8" w:rsidRPr="00F10EAD" w:rsidRDefault="006B54A8" w:rsidP="006B54A8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The </w:t>
      </w:r>
      <w:r>
        <w:rPr>
          <w:rFonts w:cs="Arial"/>
          <w:b w:val="0"/>
          <w:color w:val="000000" w:themeColor="text1"/>
          <w:sz w:val="24"/>
          <w:szCs w:val="24"/>
        </w:rPr>
        <w:t>Seventeenth</w:t>
      </w:r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 Meeting of the AANZFTA Joint Committee (1</w:t>
      </w:r>
      <w:r>
        <w:rPr>
          <w:rFonts w:cs="Arial"/>
          <w:b w:val="0"/>
          <w:color w:val="000000" w:themeColor="text1"/>
          <w:sz w:val="24"/>
          <w:szCs w:val="24"/>
        </w:rPr>
        <w:t>7</w:t>
      </w:r>
      <w:r w:rsidRPr="00F10EAD">
        <w:rPr>
          <w:rFonts w:cs="Arial"/>
          <w:b w:val="0"/>
          <w:color w:val="000000" w:themeColor="text1"/>
          <w:sz w:val="24"/>
          <w:szCs w:val="24"/>
          <w:vertAlign w:val="superscript"/>
        </w:rPr>
        <w:t>th</w:t>
      </w:r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 FJC) was held </w:t>
      </w:r>
      <w:r>
        <w:rPr>
          <w:rFonts w:cs="Arial"/>
          <w:b w:val="0"/>
          <w:color w:val="000000" w:themeColor="text1"/>
          <w:sz w:val="24"/>
          <w:szCs w:val="24"/>
        </w:rPr>
        <w:t>in hybrid</w:t>
      </w:r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>
        <w:rPr>
          <w:rFonts w:cs="Arial"/>
          <w:b w:val="0"/>
          <w:color w:val="000000" w:themeColor="text1"/>
          <w:sz w:val="24"/>
          <w:szCs w:val="24"/>
        </w:rPr>
        <w:t xml:space="preserve">format </w:t>
      </w:r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on </w:t>
      </w:r>
      <w:r>
        <w:rPr>
          <w:rFonts w:cs="Arial"/>
          <w:b w:val="0"/>
          <w:color w:val="000000" w:themeColor="text1"/>
          <w:sz w:val="24"/>
          <w:szCs w:val="24"/>
        </w:rPr>
        <w:t>16-17 June</w:t>
      </w:r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 2022</w:t>
      </w:r>
      <w:r w:rsidR="0081414A" w:rsidRPr="0081414A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81414A">
        <w:rPr>
          <w:rFonts w:cs="Arial"/>
          <w:b w:val="0"/>
          <w:color w:val="000000" w:themeColor="text1"/>
          <w:sz w:val="24"/>
          <w:szCs w:val="24"/>
        </w:rPr>
        <w:t>at the ASEAN Secretariat, Indonesia</w:t>
      </w:r>
      <w:r w:rsidRPr="00F10EAD">
        <w:rPr>
          <w:rFonts w:cs="Arial"/>
          <w:b w:val="0"/>
          <w:color w:val="000000" w:themeColor="text1"/>
          <w:sz w:val="24"/>
          <w:szCs w:val="24"/>
        </w:rPr>
        <w:t>. Representatives from all ASEAN Member States (AMS), Australia, and New Zealand, as well as the staff members from the ASEAN Secretariat attended the Meeting, which was co-chaired by:</w:t>
      </w:r>
    </w:p>
    <w:p w14:paraId="0C50B08D" w14:textId="77777777" w:rsidR="006B54A8" w:rsidRPr="00F10EAD" w:rsidRDefault="006B54A8" w:rsidP="006B54A8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0E91DB8E" w14:textId="77777777" w:rsidR="006B54A8" w:rsidRPr="00F10EAD" w:rsidRDefault="006B54A8" w:rsidP="006B54A8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Mr. </w:t>
      </w:r>
      <w:proofErr w:type="spellStart"/>
      <w:r w:rsidRPr="00F10EAD">
        <w:rPr>
          <w:rFonts w:cs="Arial"/>
          <w:b w:val="0"/>
          <w:color w:val="000000" w:themeColor="text1"/>
          <w:sz w:val="24"/>
          <w:szCs w:val="24"/>
        </w:rPr>
        <w:t>Yusdiman</w:t>
      </w:r>
      <w:proofErr w:type="spellEnd"/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 Saman, Acting Assistant Director, Trade Division, Ministry of Finance and Economy, Brunei Darussalam, on behalf of the ASEAN Member States;</w:t>
      </w:r>
    </w:p>
    <w:p w14:paraId="0CA09142" w14:textId="77777777" w:rsidR="006B54A8" w:rsidRPr="004C231F" w:rsidRDefault="006B54A8" w:rsidP="006B54A8">
      <w:pPr>
        <w:pStyle w:val="Title"/>
        <w:tabs>
          <w:tab w:val="left" w:pos="0"/>
        </w:tabs>
        <w:spacing w:line="23" w:lineRule="atLeast"/>
        <w:ind w:left="993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3E841F36" w14:textId="77777777" w:rsidR="006B54A8" w:rsidRDefault="006B54A8" w:rsidP="006B54A8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7C4D29">
        <w:rPr>
          <w:rFonts w:cs="Arial"/>
          <w:b w:val="0"/>
          <w:color w:val="000000" w:themeColor="text1"/>
          <w:sz w:val="24"/>
          <w:szCs w:val="24"/>
        </w:rPr>
        <w:t>Ms. Juliana Nam, Assistant Secretary, FTA Policy and Implementation Branch, Department of Foreign Affairs and Trade, for Australia; and</w:t>
      </w:r>
    </w:p>
    <w:p w14:paraId="6DAE3068" w14:textId="77777777" w:rsidR="006B54A8" w:rsidRPr="006B54A8" w:rsidRDefault="006B54A8" w:rsidP="006B54A8">
      <w:pPr>
        <w:rPr>
          <w:rFonts w:cs="Arial"/>
          <w:b/>
          <w:color w:val="000000" w:themeColor="text1"/>
          <w:sz w:val="24"/>
          <w:szCs w:val="24"/>
        </w:rPr>
      </w:pPr>
    </w:p>
    <w:p w14:paraId="4BA6C3C1" w14:textId="72DDAF54" w:rsidR="00653298" w:rsidRDefault="006B54A8" w:rsidP="006B54A8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6B54A8">
        <w:rPr>
          <w:rFonts w:cs="Arial"/>
          <w:b w:val="0"/>
          <w:color w:val="000000" w:themeColor="text1"/>
          <w:sz w:val="24"/>
          <w:szCs w:val="24"/>
        </w:rPr>
        <w:t>Mr. Keawe Woodmore, Deputy Director General, FTA Implementation Unit, Ministry of Foreign Affairs and Trade, for New Zealand</w:t>
      </w:r>
    </w:p>
    <w:p w14:paraId="3D9C1C3B" w14:textId="77777777" w:rsidR="006B54A8" w:rsidRPr="006B54A8" w:rsidRDefault="006B54A8" w:rsidP="006B54A8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35ABD13E" w14:textId="028B3339" w:rsidR="0034662E" w:rsidRPr="0094780E" w:rsidRDefault="0089717C" w:rsidP="0034662E">
      <w:pPr>
        <w:pStyle w:val="Title"/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>
        <w:rPr>
          <w:rFonts w:cs="Arial"/>
          <w:b w:val="0"/>
          <w:color w:val="000000" w:themeColor="text1"/>
          <w:sz w:val="24"/>
          <w:szCs w:val="24"/>
        </w:rPr>
        <w:t xml:space="preserve">The FJC </w:t>
      </w:r>
      <w:r w:rsidR="00184576">
        <w:rPr>
          <w:rFonts w:cs="Arial"/>
          <w:b w:val="0"/>
          <w:color w:val="000000" w:themeColor="text1"/>
          <w:sz w:val="24"/>
          <w:szCs w:val="24"/>
        </w:rPr>
        <w:t xml:space="preserve">Co-Chairs </w:t>
      </w:r>
      <w:r w:rsidR="006B54A8">
        <w:rPr>
          <w:rFonts w:cs="Arial"/>
          <w:b w:val="0"/>
          <w:color w:val="000000" w:themeColor="text1"/>
          <w:sz w:val="24"/>
          <w:szCs w:val="24"/>
        </w:rPr>
        <w:t>welcomed the progress of negotiations in the Subsidiary Bodies and looked forward to more positive outcomes towards the end of this round</w:t>
      </w:r>
      <w:r w:rsidR="0034662E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8F188E">
        <w:rPr>
          <w:rFonts w:cs="Arial"/>
          <w:b w:val="0"/>
          <w:color w:val="000000" w:themeColor="text1"/>
          <w:sz w:val="24"/>
          <w:szCs w:val="24"/>
        </w:rPr>
        <w:t xml:space="preserve">The FJC Co-Chairs also underlined </w:t>
      </w:r>
      <w:r w:rsidR="008F188E" w:rsidRPr="008F188E">
        <w:rPr>
          <w:rFonts w:cs="Arial"/>
          <w:b w:val="0"/>
          <w:color w:val="000000" w:themeColor="text1"/>
          <w:sz w:val="24"/>
          <w:szCs w:val="24"/>
        </w:rPr>
        <w:t>the need to keep the momentum going</w:t>
      </w:r>
      <w:r w:rsidR="0081414A" w:rsidRPr="0081414A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81414A">
        <w:rPr>
          <w:rFonts w:cs="Arial"/>
          <w:b w:val="0"/>
          <w:color w:val="000000" w:themeColor="text1"/>
          <w:sz w:val="24"/>
          <w:szCs w:val="24"/>
        </w:rPr>
        <w:t xml:space="preserve">and </w:t>
      </w:r>
      <w:r w:rsidR="0081414A" w:rsidRPr="00F64414">
        <w:rPr>
          <w:rFonts w:cs="Arial"/>
          <w:b w:val="0"/>
          <w:color w:val="000000" w:themeColor="text1"/>
          <w:sz w:val="24"/>
          <w:szCs w:val="24"/>
        </w:rPr>
        <w:t xml:space="preserve">emphasised the importance </w:t>
      </w:r>
      <w:r w:rsidR="0081414A">
        <w:rPr>
          <w:rFonts w:cs="Arial"/>
          <w:b w:val="0"/>
          <w:bCs w:val="0"/>
          <w:color w:val="000000" w:themeColor="text1"/>
          <w:sz w:val="24"/>
          <w:szCs w:val="24"/>
        </w:rPr>
        <w:t xml:space="preserve">of </w:t>
      </w:r>
      <w:r w:rsidR="0081414A" w:rsidRPr="00F64414">
        <w:rPr>
          <w:rFonts w:cs="Arial"/>
          <w:b w:val="0"/>
          <w:bCs w:val="0"/>
          <w:color w:val="000000" w:themeColor="text1"/>
          <w:sz w:val="24"/>
          <w:szCs w:val="24"/>
        </w:rPr>
        <w:t>expedit</w:t>
      </w:r>
      <w:r w:rsidR="0081414A">
        <w:rPr>
          <w:rFonts w:cs="Arial"/>
          <w:b w:val="0"/>
          <w:bCs w:val="0"/>
          <w:color w:val="000000" w:themeColor="text1"/>
          <w:sz w:val="24"/>
          <w:szCs w:val="24"/>
        </w:rPr>
        <w:t>ing</w:t>
      </w:r>
      <w:r w:rsidR="0081414A" w:rsidRPr="00F64414">
        <w:rPr>
          <w:rFonts w:cs="Arial"/>
          <w:b w:val="0"/>
          <w:bCs w:val="0"/>
          <w:color w:val="000000" w:themeColor="text1"/>
          <w:sz w:val="24"/>
          <w:szCs w:val="24"/>
        </w:rPr>
        <w:t xml:space="preserve"> the AANZFTA upgrade negotiations</w:t>
      </w:r>
      <w:r w:rsidR="008F188E" w:rsidRPr="008F188E">
        <w:rPr>
          <w:rFonts w:cs="Arial"/>
          <w:b w:val="0"/>
          <w:color w:val="000000" w:themeColor="text1"/>
          <w:sz w:val="24"/>
          <w:szCs w:val="24"/>
        </w:rPr>
        <w:t>, given the limited timeline and looked forward to concluding the upgrade negotiations by September 2022.</w:t>
      </w:r>
    </w:p>
    <w:p w14:paraId="59C1A747" w14:textId="77777777" w:rsidR="00184576" w:rsidRDefault="00184576" w:rsidP="005432C3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275B8C3F" w14:textId="42E798CA" w:rsidR="00026132" w:rsidRDefault="0034662E" w:rsidP="005432C3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>
        <w:rPr>
          <w:rFonts w:cs="Arial"/>
          <w:b w:val="0"/>
          <w:color w:val="000000" w:themeColor="text1"/>
          <w:sz w:val="24"/>
          <w:szCs w:val="24"/>
        </w:rPr>
        <w:t>The reporting session focused on subsidiary bodies (SBs)</w:t>
      </w:r>
      <w:r w:rsidR="00F14465">
        <w:rPr>
          <w:rFonts w:cs="Arial"/>
          <w:b w:val="0"/>
          <w:color w:val="000000" w:themeColor="text1"/>
          <w:sz w:val="24"/>
          <w:szCs w:val="24"/>
        </w:rPr>
        <w:t xml:space="preserve"> who are </w:t>
      </w:r>
      <w:r>
        <w:rPr>
          <w:rFonts w:cs="Arial"/>
          <w:b w:val="0"/>
          <w:color w:val="000000" w:themeColor="text1"/>
          <w:sz w:val="24"/>
          <w:szCs w:val="24"/>
        </w:rPr>
        <w:t>having contentious issues and need FJC’s guidance.</w:t>
      </w:r>
      <w:r w:rsidR="00F14465">
        <w:rPr>
          <w:rFonts w:cs="Arial"/>
          <w:b w:val="0"/>
          <w:color w:val="000000" w:themeColor="text1"/>
          <w:sz w:val="24"/>
          <w:szCs w:val="24"/>
        </w:rPr>
        <w:t xml:space="preserve"> These </w:t>
      </w:r>
      <w:r w:rsidR="000E62B7">
        <w:rPr>
          <w:rFonts w:cs="Arial"/>
          <w:b w:val="0"/>
          <w:color w:val="000000" w:themeColor="text1"/>
          <w:sz w:val="24"/>
          <w:szCs w:val="24"/>
        </w:rPr>
        <w:t>SBs</w:t>
      </w:r>
      <w:r w:rsidR="00F14465">
        <w:rPr>
          <w:rFonts w:cs="Arial"/>
          <w:b w:val="0"/>
          <w:color w:val="000000" w:themeColor="text1"/>
          <w:sz w:val="24"/>
          <w:szCs w:val="24"/>
        </w:rPr>
        <w:t xml:space="preserve"> are:</w:t>
      </w:r>
    </w:p>
    <w:p w14:paraId="7D656E00" w14:textId="03373A69" w:rsidR="0034662E" w:rsidRPr="0034662E" w:rsidRDefault="0034662E" w:rsidP="0034662E">
      <w:pPr>
        <w:rPr>
          <w:rFonts w:cs="Arial"/>
          <w:i/>
          <w:iCs/>
          <w:color w:val="000000" w:themeColor="text1"/>
          <w:sz w:val="24"/>
          <w:szCs w:val="24"/>
        </w:rPr>
      </w:pPr>
    </w:p>
    <w:p w14:paraId="6433F216" w14:textId="36A1BCF7" w:rsidR="0034662E" w:rsidRDefault="0034662E" w:rsidP="00346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Trade in Goods (CTG)</w:t>
      </w:r>
    </w:p>
    <w:p w14:paraId="75DB248C" w14:textId="413B4A85" w:rsidR="008F188E" w:rsidRDefault="008F188E" w:rsidP="00346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Ad-Hoc Group on Micro, Small, and Medium Enterprise (MSME)</w:t>
      </w:r>
    </w:p>
    <w:p w14:paraId="4F873797" w14:textId="77777777" w:rsidR="00E408A8" w:rsidRPr="008F188E" w:rsidRDefault="00E408A8" w:rsidP="00E408A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Sub-Committee on Financial Services (SC-F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S</w:t>
      </w: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)</w:t>
      </w:r>
    </w:p>
    <w:p w14:paraId="2CFF0C4A" w14:textId="7ACF0763" w:rsidR="00E408A8" w:rsidRDefault="00E408A8" w:rsidP="008F18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Economic Cooperation Sub-Committee (ECSC)</w:t>
      </w:r>
    </w:p>
    <w:p w14:paraId="735B607D" w14:textId="4F536ACE" w:rsidR="00E408A8" w:rsidRPr="00E408A8" w:rsidRDefault="00E408A8" w:rsidP="00E408A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Electronic Commerce (CEC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)</w:t>
      </w:r>
    </w:p>
    <w:p w14:paraId="0592E0F3" w14:textId="7BE8CCA0" w:rsidR="008F188E" w:rsidRPr="00664898" w:rsidRDefault="008F188E" w:rsidP="008F18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Trade in Services (CTS)</w:t>
      </w:r>
    </w:p>
    <w:p w14:paraId="6ECC86BE" w14:textId="77777777" w:rsidR="008F188E" w:rsidRPr="00664898" w:rsidRDefault="008F188E" w:rsidP="008F188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Investment (COI)</w:t>
      </w:r>
    </w:p>
    <w:p w14:paraId="0B13F8D7" w14:textId="5F16D9EB" w:rsidR="0034662E" w:rsidRPr="00664898" w:rsidRDefault="0034662E" w:rsidP="00346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Sub-Committee on Rules of Origins (SCROO)</w:t>
      </w:r>
    </w:p>
    <w:p w14:paraId="72285B6B" w14:textId="5803051B" w:rsidR="00C1667E" w:rsidRPr="00264CDE" w:rsidRDefault="0034662E" w:rsidP="00264CD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Working Group on Legal and Institutional Issues (WGLII)</w:t>
      </w:r>
    </w:p>
    <w:p w14:paraId="4504F605" w14:textId="06E7B454" w:rsidR="000E62B7" w:rsidRDefault="000E62B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  <w:bookmarkStart w:id="2" w:name="_Hlk78219492"/>
    </w:p>
    <w:p w14:paraId="01FDB3FD" w14:textId="7CEEB099" w:rsidR="0034662E" w:rsidRDefault="0034662E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26D660CB" w14:textId="77777777" w:rsidR="0034662E" w:rsidRDefault="0034662E" w:rsidP="00B07E95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7BBB1B55" w14:textId="77777777" w:rsidR="000E62B7" w:rsidRDefault="000E62B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793046F3" w14:textId="3497F7AA" w:rsidR="005432C3" w:rsidRDefault="005432C3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  <w:r w:rsidRPr="00BE603A">
        <w:rPr>
          <w:rFonts w:cs="Arial"/>
          <w:bCs w:val="0"/>
          <w:color w:val="000000" w:themeColor="text1"/>
          <w:sz w:val="24"/>
          <w:szCs w:val="24"/>
        </w:rPr>
        <w:t>SUMMARY OF THE MAIN</w:t>
      </w:r>
      <w:r w:rsidR="00482E1B" w:rsidRPr="00BE603A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BE603A" w:rsidRPr="00BE603A">
        <w:rPr>
          <w:rFonts w:cs="Arial"/>
          <w:bCs w:val="0"/>
          <w:color w:val="000000" w:themeColor="text1"/>
          <w:sz w:val="24"/>
          <w:szCs w:val="24"/>
        </w:rPr>
        <w:t>OUTCOMES</w:t>
      </w:r>
    </w:p>
    <w:bookmarkEnd w:id="2"/>
    <w:p w14:paraId="0F8240A2" w14:textId="77777777" w:rsidR="003F5468" w:rsidRPr="00BE603A" w:rsidRDefault="003F5468" w:rsidP="00264CDE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7AAE02AD" w14:textId="77777777" w:rsidR="00026132" w:rsidRDefault="00026132" w:rsidP="002A7453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31818404" w14:textId="1AD72171" w:rsidR="007857F1" w:rsidRDefault="007857F1" w:rsidP="00BE603A">
      <w:pPr>
        <w:pStyle w:val="Title"/>
        <w:numPr>
          <w:ilvl w:val="0"/>
          <w:numId w:val="4"/>
        </w:numPr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  <w:r>
        <w:rPr>
          <w:rFonts w:cs="Arial"/>
          <w:bCs w:val="0"/>
          <w:color w:val="000000" w:themeColor="text1"/>
          <w:sz w:val="24"/>
          <w:szCs w:val="24"/>
        </w:rPr>
        <w:t>OUTCOMES FROM THE HIGH-LEVEL MEETING</w:t>
      </w:r>
    </w:p>
    <w:p w14:paraId="4A2AB87A" w14:textId="77777777" w:rsidR="007857F1" w:rsidRDefault="007857F1" w:rsidP="007857F1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1BF0AB02" w14:textId="20EA36B7" w:rsidR="007857F1" w:rsidRDefault="00967A6F" w:rsidP="00C10708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C10708">
        <w:rPr>
          <w:rFonts w:cs="Arial"/>
          <w:bCs w:val="0"/>
          <w:color w:val="000000" w:themeColor="text1"/>
          <w:sz w:val="24"/>
          <w:szCs w:val="24"/>
        </w:rPr>
        <w:t>NOTED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 xml:space="preserve"> that the </w:t>
      </w:r>
      <w:r w:rsidR="0081414A" w:rsidRPr="00F77639">
        <w:rPr>
          <w:rFonts w:cs="Arial"/>
          <w:b w:val="0"/>
          <w:bCs w:val="0"/>
          <w:color w:val="000000" w:themeColor="text1"/>
          <w:sz w:val="24"/>
          <w:szCs w:val="24"/>
        </w:rPr>
        <w:t xml:space="preserve">Senior Economic Official Meeting – Closer Economic Relations </w:t>
      </w:r>
      <w:r w:rsidR="0081414A">
        <w:rPr>
          <w:rFonts w:cs="Arial"/>
          <w:b w:val="0"/>
          <w:bCs w:val="0"/>
          <w:color w:val="000000" w:themeColor="text1"/>
          <w:sz w:val="24"/>
          <w:szCs w:val="24"/>
        </w:rPr>
        <w:t xml:space="preserve">(SEOM-CER) 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>tasked the FJC to find creative solutions to address the contentious issues and to move the negotiations forward</w:t>
      </w:r>
      <w:r w:rsidR="0081414A">
        <w:rPr>
          <w:rFonts w:cs="Arial"/>
          <w:bCs w:val="0"/>
          <w:color w:val="000000" w:themeColor="text1"/>
          <w:sz w:val="24"/>
          <w:szCs w:val="24"/>
        </w:rPr>
        <w:t xml:space="preserve">. </w:t>
      </w:r>
      <w:r w:rsidR="0081414A" w:rsidRPr="00967A6F">
        <w:rPr>
          <w:rFonts w:cs="Arial"/>
          <w:bCs w:val="0"/>
          <w:color w:val="000000" w:themeColor="text1"/>
          <w:sz w:val="24"/>
          <w:szCs w:val="24"/>
        </w:rPr>
        <w:t>ENCOURAGED</w:t>
      </w:r>
      <w:r w:rsidR="0081414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FJC and Subsidiary Bodies (SBs) to expedite </w:t>
      </w:r>
      <w:r w:rsidR="0081414A" w:rsidRPr="00E53C03">
        <w:rPr>
          <w:rFonts w:cs="Arial"/>
          <w:b w:val="0"/>
          <w:bCs w:val="0"/>
          <w:color w:val="000000" w:themeColor="text1"/>
          <w:sz w:val="24"/>
          <w:szCs w:val="24"/>
        </w:rPr>
        <w:t xml:space="preserve">the negotiation and to exercise utmost flexibilities while also </w:t>
      </w:r>
      <w:r w:rsidR="0081414A">
        <w:rPr>
          <w:rFonts w:cs="Arial"/>
          <w:b w:val="0"/>
          <w:bCs w:val="0"/>
          <w:color w:val="000000" w:themeColor="text1"/>
          <w:sz w:val="24"/>
          <w:szCs w:val="24"/>
        </w:rPr>
        <w:t xml:space="preserve">reaffirming the required level of </w:t>
      </w:r>
      <w:r w:rsidR="0081414A" w:rsidRPr="00E53C03">
        <w:rPr>
          <w:rFonts w:cs="Arial"/>
          <w:b w:val="0"/>
          <w:bCs w:val="0"/>
          <w:color w:val="000000" w:themeColor="text1"/>
          <w:sz w:val="24"/>
          <w:szCs w:val="24"/>
        </w:rPr>
        <w:t>ambition to conclude the negotiations by September 2022</w:t>
      </w:r>
    </w:p>
    <w:p w14:paraId="785F5667" w14:textId="77777777" w:rsidR="00C10708" w:rsidRPr="00C10708" w:rsidRDefault="00C10708" w:rsidP="00C10708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622DF8AE" w14:textId="77777777" w:rsidR="00C10708" w:rsidRDefault="00C10708" w:rsidP="0081414A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2059FF0A" w14:textId="451BBAAC" w:rsidR="009F6CF2" w:rsidRDefault="007857F1" w:rsidP="00BE603A">
      <w:pPr>
        <w:pStyle w:val="Title"/>
        <w:numPr>
          <w:ilvl w:val="0"/>
          <w:numId w:val="4"/>
        </w:numPr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  <w:r>
        <w:rPr>
          <w:rFonts w:cs="Arial"/>
          <w:bCs w:val="0"/>
          <w:color w:val="000000" w:themeColor="text1"/>
          <w:sz w:val="24"/>
          <w:szCs w:val="24"/>
        </w:rPr>
        <w:t>FJC GUIDANCE TO THE SUBSIDIARY BODIES UNDER FJC</w:t>
      </w:r>
    </w:p>
    <w:p w14:paraId="6433F3EF" w14:textId="77777777" w:rsidR="007857F1" w:rsidRDefault="007857F1" w:rsidP="007857F1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sz w:val="24"/>
          <w:szCs w:val="24"/>
        </w:rPr>
      </w:pPr>
    </w:p>
    <w:p w14:paraId="4EB1F3D3" w14:textId="41D87780" w:rsidR="00B07E95" w:rsidRPr="00B07E95" w:rsidRDefault="00B07E95" w:rsidP="007857F1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sz w:val="24"/>
          <w:szCs w:val="24"/>
        </w:rPr>
      </w:pPr>
      <w:bookmarkStart w:id="3" w:name="_Hlk106382545"/>
      <w:r>
        <w:rPr>
          <w:rFonts w:cs="Arial"/>
          <w:color w:val="000000" w:themeColor="text1"/>
          <w:sz w:val="24"/>
          <w:szCs w:val="24"/>
        </w:rPr>
        <w:t xml:space="preserve">ENCOURAGED </w:t>
      </w:r>
      <w:r w:rsidRPr="00B07E95">
        <w:rPr>
          <w:rFonts w:cs="Arial"/>
          <w:b w:val="0"/>
          <w:color w:val="000000" w:themeColor="text1"/>
          <w:sz w:val="24"/>
          <w:szCs w:val="24"/>
        </w:rPr>
        <w:t>AANFTA Parties to: (</w:t>
      </w:r>
      <w:proofErr w:type="spellStart"/>
      <w:r w:rsidRPr="00B07E95">
        <w:rPr>
          <w:rFonts w:cs="Arial"/>
          <w:b w:val="0"/>
          <w:color w:val="000000" w:themeColor="text1"/>
          <w:sz w:val="24"/>
          <w:szCs w:val="24"/>
        </w:rPr>
        <w:t>i</w:t>
      </w:r>
      <w:proofErr w:type="spellEnd"/>
      <w:r w:rsidRPr="00B07E95">
        <w:rPr>
          <w:rFonts w:cs="Arial"/>
          <w:b w:val="0"/>
          <w:color w:val="000000" w:themeColor="text1"/>
          <w:sz w:val="24"/>
          <w:szCs w:val="24"/>
        </w:rPr>
        <w:t>) focus on the current issues and refrain from tabling new proposals; (ii) reach out to proponents if clarification is needed; (iii) come to the next meeting with full mandate</w:t>
      </w:r>
      <w:bookmarkEnd w:id="3"/>
      <w:r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 w:rsidRPr="00B07E95">
        <w:rPr>
          <w:rFonts w:cs="Arial"/>
          <w:color w:val="000000" w:themeColor="text1"/>
          <w:sz w:val="24"/>
          <w:szCs w:val="24"/>
        </w:rPr>
        <w:t>FURTHER ENCOURAGED</w:t>
      </w:r>
      <w:r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Pr="00B07E95">
        <w:rPr>
          <w:rFonts w:cs="Arial"/>
          <w:b w:val="0"/>
          <w:color w:val="000000" w:themeColor="text1"/>
          <w:sz w:val="24"/>
          <w:szCs w:val="24"/>
        </w:rPr>
        <w:t>AANZFTA Parties to have in-person meetings for the next round of negotiations.</w:t>
      </w:r>
    </w:p>
    <w:p w14:paraId="6774F3B1" w14:textId="77777777" w:rsidR="007857F1" w:rsidRPr="00635B9A" w:rsidRDefault="007857F1" w:rsidP="00635B9A">
      <w:pPr>
        <w:spacing w:line="23" w:lineRule="atLeast"/>
        <w:rPr>
          <w:rFonts w:cs="Arial"/>
          <w:iCs/>
          <w:color w:val="000000" w:themeColor="text1"/>
          <w:sz w:val="24"/>
          <w:szCs w:val="24"/>
        </w:rPr>
      </w:pPr>
    </w:p>
    <w:p w14:paraId="17D9FE2B" w14:textId="77777777" w:rsidR="00264CDE" w:rsidRDefault="00264CDE" w:rsidP="007857F1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5972D4FF" w14:textId="51C77BB3" w:rsidR="009F6CF2" w:rsidRDefault="007857F1" w:rsidP="009F6CF2">
      <w:pPr>
        <w:pStyle w:val="Title"/>
        <w:numPr>
          <w:ilvl w:val="0"/>
          <w:numId w:val="4"/>
        </w:numPr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  <w:r>
        <w:rPr>
          <w:rFonts w:cs="Arial"/>
          <w:bCs w:val="0"/>
          <w:color w:val="000000" w:themeColor="text1"/>
          <w:sz w:val="24"/>
          <w:szCs w:val="24"/>
        </w:rPr>
        <w:t>ECONOMIC COOPERATION</w:t>
      </w:r>
    </w:p>
    <w:p w14:paraId="5532119B" w14:textId="2E497DF6" w:rsidR="00136E33" w:rsidRDefault="00136E33" w:rsidP="00EE23B1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bCs w:val="0"/>
          <w:iCs/>
          <w:color w:val="000000" w:themeColor="text1"/>
          <w:sz w:val="24"/>
          <w:szCs w:val="24"/>
        </w:rPr>
      </w:pPr>
    </w:p>
    <w:p w14:paraId="7251D53F" w14:textId="19AD16BD" w:rsidR="00907117" w:rsidRDefault="007857F1" w:rsidP="001350D6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7857F1">
        <w:rPr>
          <w:rFonts w:cs="Arial"/>
          <w:b w:val="0"/>
          <w:color w:val="000000" w:themeColor="text1"/>
          <w:sz w:val="24"/>
          <w:szCs w:val="24"/>
        </w:rPr>
        <w:t xml:space="preserve">Australia </w:t>
      </w:r>
      <w:r w:rsidRPr="007857F1">
        <w:rPr>
          <w:rFonts w:cs="Arial"/>
          <w:color w:val="000000" w:themeColor="text1"/>
          <w:sz w:val="24"/>
          <w:szCs w:val="24"/>
        </w:rPr>
        <w:t>INFORMED</w:t>
      </w:r>
      <w:r w:rsidRPr="007857F1">
        <w:rPr>
          <w:rFonts w:cs="Arial"/>
          <w:b w:val="0"/>
          <w:color w:val="000000" w:themeColor="text1"/>
          <w:sz w:val="24"/>
          <w:szCs w:val="24"/>
        </w:rPr>
        <w:t xml:space="preserve"> that it is currently undertaking the procurement process to select a managing contractor to implement the Regional Trade for Development </w:t>
      </w:r>
      <w:r w:rsidR="0081414A">
        <w:rPr>
          <w:rFonts w:cs="Arial"/>
          <w:b w:val="0"/>
          <w:color w:val="000000" w:themeColor="text1"/>
          <w:sz w:val="24"/>
          <w:szCs w:val="24"/>
        </w:rPr>
        <w:t xml:space="preserve">(RT4D) </w:t>
      </w:r>
      <w:r w:rsidRPr="007857F1">
        <w:rPr>
          <w:rFonts w:cs="Arial"/>
          <w:b w:val="0"/>
          <w:color w:val="000000" w:themeColor="text1"/>
          <w:sz w:val="24"/>
          <w:szCs w:val="24"/>
        </w:rPr>
        <w:t>Initiative programme, which is expected to be mobilised by the middle of this year</w:t>
      </w:r>
      <w:r>
        <w:rPr>
          <w:rFonts w:cs="Arial"/>
          <w:b w:val="0"/>
          <w:color w:val="000000" w:themeColor="text1"/>
          <w:sz w:val="24"/>
          <w:szCs w:val="24"/>
        </w:rPr>
        <w:t>.</w:t>
      </w:r>
    </w:p>
    <w:p w14:paraId="6F538949" w14:textId="72C6B711" w:rsidR="007857F1" w:rsidRDefault="007857F1" w:rsidP="001350D6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iCs/>
          <w:color w:val="000000" w:themeColor="text1"/>
          <w:sz w:val="24"/>
          <w:szCs w:val="24"/>
        </w:rPr>
      </w:pPr>
    </w:p>
    <w:p w14:paraId="629384C2" w14:textId="6FA4DA7C" w:rsidR="00635B9A" w:rsidRDefault="00635B9A" w:rsidP="0081414A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iCs/>
          <w:sz w:val="24"/>
          <w:szCs w:val="24"/>
        </w:rPr>
      </w:pPr>
      <w:bookmarkStart w:id="4" w:name="_Hlk106382600"/>
      <w:r>
        <w:rPr>
          <w:rFonts w:cs="Arial"/>
          <w:iCs/>
          <w:sz w:val="24"/>
          <w:szCs w:val="24"/>
        </w:rPr>
        <w:t>APPRECIATED</w:t>
      </w:r>
      <w:r w:rsidRPr="00A746B2">
        <w:rPr>
          <w:rFonts w:cs="Arial"/>
          <w:iCs/>
          <w:sz w:val="24"/>
          <w:szCs w:val="24"/>
        </w:rPr>
        <w:t xml:space="preserve"> </w:t>
      </w:r>
      <w:r w:rsidRPr="00635B9A">
        <w:rPr>
          <w:rFonts w:cs="Arial"/>
          <w:b w:val="0"/>
          <w:iCs/>
          <w:sz w:val="24"/>
          <w:szCs w:val="24"/>
        </w:rPr>
        <w:t xml:space="preserve">Australia’s support of AUD 46 million to support economic cooperation and integration under the AANZFTA and the </w:t>
      </w:r>
      <w:bookmarkEnd w:id="4"/>
      <w:r w:rsidRPr="00635B9A">
        <w:rPr>
          <w:rFonts w:cs="Arial"/>
          <w:b w:val="0"/>
          <w:iCs/>
          <w:sz w:val="24"/>
          <w:szCs w:val="24"/>
        </w:rPr>
        <w:t>Regional Comprehensive Economic Partnership (RCEP)</w:t>
      </w:r>
      <w:r>
        <w:rPr>
          <w:rFonts w:cs="Arial"/>
          <w:b w:val="0"/>
          <w:iCs/>
          <w:sz w:val="24"/>
          <w:szCs w:val="24"/>
        </w:rPr>
        <w:t xml:space="preserve">. </w:t>
      </w:r>
      <w:r w:rsidRPr="00635B9A">
        <w:rPr>
          <w:rFonts w:cs="Arial"/>
          <w:iCs/>
          <w:sz w:val="24"/>
          <w:szCs w:val="24"/>
        </w:rPr>
        <w:t>FURTHER APPRECIATED</w:t>
      </w:r>
      <w:r w:rsidRPr="00635B9A">
        <w:rPr>
          <w:rFonts w:cs="Arial"/>
          <w:b w:val="0"/>
          <w:iCs/>
          <w:sz w:val="24"/>
          <w:szCs w:val="24"/>
        </w:rPr>
        <w:t xml:space="preserve"> New Zealand’s commitment to continue supporting the implementation of on-going AECSP Programme during the transition period until the AANZFTA Implementation Support (AIS) facility, as the successor programme of AECSP, is properly established</w:t>
      </w:r>
      <w:r>
        <w:rPr>
          <w:rFonts w:cs="Arial"/>
          <w:b w:val="0"/>
          <w:iCs/>
          <w:sz w:val="24"/>
          <w:szCs w:val="24"/>
        </w:rPr>
        <w:t>.</w:t>
      </w:r>
      <w:r w:rsidR="0081414A">
        <w:rPr>
          <w:rFonts w:cs="Arial"/>
          <w:b w:val="0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URGED</w:t>
      </w:r>
      <w:r w:rsidRPr="00961524">
        <w:rPr>
          <w:rFonts w:cs="Arial"/>
          <w:iCs/>
          <w:sz w:val="24"/>
          <w:szCs w:val="24"/>
        </w:rPr>
        <w:t xml:space="preserve"> </w:t>
      </w:r>
      <w:r w:rsidRPr="00635B9A">
        <w:rPr>
          <w:rFonts w:cs="Arial"/>
          <w:b w:val="0"/>
          <w:iCs/>
          <w:sz w:val="24"/>
          <w:szCs w:val="24"/>
        </w:rPr>
        <w:t>Australia and New Zealand to expedite the procurement process to ensure a smooth transition to the new facility.</w:t>
      </w:r>
    </w:p>
    <w:p w14:paraId="133DF742" w14:textId="4B43621D" w:rsidR="004012EC" w:rsidRDefault="004012EC" w:rsidP="00136E33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iCs/>
          <w:sz w:val="24"/>
          <w:szCs w:val="24"/>
        </w:rPr>
      </w:pPr>
    </w:p>
    <w:p w14:paraId="7317C2C8" w14:textId="71986119" w:rsidR="004012EC" w:rsidRDefault="004012EC" w:rsidP="00136E33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iCs/>
          <w:sz w:val="24"/>
          <w:szCs w:val="24"/>
        </w:rPr>
      </w:pPr>
    </w:p>
    <w:p w14:paraId="7A4CDF56" w14:textId="512FC159" w:rsidR="004012EC" w:rsidRDefault="004012EC" w:rsidP="004012EC">
      <w:pPr>
        <w:pStyle w:val="Title"/>
        <w:numPr>
          <w:ilvl w:val="0"/>
          <w:numId w:val="4"/>
        </w:numPr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  <w:r>
        <w:rPr>
          <w:rFonts w:cs="Arial"/>
          <w:bCs w:val="0"/>
          <w:color w:val="000000" w:themeColor="text1"/>
          <w:sz w:val="24"/>
          <w:szCs w:val="24"/>
        </w:rPr>
        <w:t>THE 9</w:t>
      </w:r>
      <w:r w:rsidRPr="004012EC">
        <w:rPr>
          <w:rFonts w:cs="Arial"/>
          <w:bCs w:val="0"/>
          <w:color w:val="000000" w:themeColor="text1"/>
          <w:sz w:val="24"/>
          <w:szCs w:val="24"/>
          <w:vertAlign w:val="superscript"/>
        </w:rPr>
        <w:t>TH</w:t>
      </w:r>
      <w:r>
        <w:rPr>
          <w:rFonts w:cs="Arial"/>
          <w:bCs w:val="0"/>
          <w:color w:val="000000" w:themeColor="text1"/>
          <w:sz w:val="24"/>
          <w:szCs w:val="24"/>
        </w:rPr>
        <w:t xml:space="preserve"> ASEAN-CER INTEGRATION PARTNERSHIP FORUM</w:t>
      </w:r>
    </w:p>
    <w:p w14:paraId="40F3A376" w14:textId="5DD2B1FE" w:rsidR="004012EC" w:rsidRDefault="004012EC" w:rsidP="004012EC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77034C17" w14:textId="24A81594" w:rsidR="004012EC" w:rsidRPr="004012EC" w:rsidRDefault="004012EC" w:rsidP="004012EC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4012EC">
        <w:rPr>
          <w:rFonts w:cs="Arial"/>
          <w:b w:val="0"/>
          <w:iCs/>
          <w:color w:val="000000" w:themeColor="text1"/>
          <w:sz w:val="24"/>
          <w:szCs w:val="24"/>
        </w:rPr>
        <w:t xml:space="preserve">New Zealand </w:t>
      </w:r>
      <w:r w:rsidRPr="004012EC">
        <w:rPr>
          <w:rFonts w:cs="Arial"/>
          <w:iCs/>
          <w:color w:val="000000" w:themeColor="text1"/>
          <w:sz w:val="24"/>
          <w:szCs w:val="24"/>
        </w:rPr>
        <w:t>INFORMED</w:t>
      </w:r>
      <w:r w:rsidRPr="004012EC">
        <w:rPr>
          <w:rFonts w:cs="Arial"/>
          <w:b w:val="0"/>
          <w:iCs/>
          <w:color w:val="000000" w:themeColor="text1"/>
          <w:sz w:val="24"/>
          <w:szCs w:val="24"/>
        </w:rPr>
        <w:t xml:space="preserve"> the Meeting on the preparation for the 9</w:t>
      </w:r>
      <w:r w:rsidRPr="004012EC">
        <w:rPr>
          <w:rFonts w:cs="Arial"/>
          <w:b w:val="0"/>
          <w:iCs/>
          <w:color w:val="000000" w:themeColor="text1"/>
          <w:sz w:val="24"/>
          <w:szCs w:val="24"/>
          <w:vertAlign w:val="superscript"/>
        </w:rPr>
        <w:t>th</w:t>
      </w:r>
      <w:r w:rsidRPr="004012EC">
        <w:rPr>
          <w:rFonts w:cs="Arial"/>
          <w:b w:val="0"/>
          <w:iCs/>
          <w:color w:val="000000" w:themeColor="text1"/>
          <w:sz w:val="24"/>
          <w:szCs w:val="24"/>
        </w:rPr>
        <w:t xml:space="preserve"> ASEAN-CER Integration Partnership Forum (IPF) to be held virtually on 20 June 2022 with the topic of </w:t>
      </w:r>
      <w:r w:rsidRPr="004012EC">
        <w:rPr>
          <w:rFonts w:cs="Arial"/>
          <w:b w:val="0"/>
          <w:sz w:val="24"/>
          <w:szCs w:val="24"/>
        </w:rPr>
        <w:t>“Trade and Sustainable Development”</w:t>
      </w:r>
      <w:r w:rsidRPr="004012EC">
        <w:rPr>
          <w:rFonts w:cs="Arial"/>
          <w:b w:val="0"/>
          <w:iCs/>
          <w:color w:val="000000" w:themeColor="text1"/>
          <w:sz w:val="24"/>
          <w:szCs w:val="24"/>
        </w:rPr>
        <w:t xml:space="preserve">. </w:t>
      </w:r>
      <w:r w:rsidRPr="004012EC">
        <w:rPr>
          <w:rFonts w:cs="Arial"/>
          <w:sz w:val="24"/>
          <w:szCs w:val="24"/>
        </w:rPr>
        <w:t>ENCOURAGED</w:t>
      </w:r>
      <w:r w:rsidRPr="004012EC">
        <w:rPr>
          <w:rFonts w:cs="Arial"/>
          <w:b w:val="0"/>
          <w:sz w:val="24"/>
          <w:szCs w:val="24"/>
        </w:rPr>
        <w:t xml:space="preserve"> AANZFTA Parties to participate and looked forward to successful implementation of the 9</w:t>
      </w:r>
      <w:r w:rsidRPr="004012EC">
        <w:rPr>
          <w:rFonts w:cs="Arial"/>
          <w:b w:val="0"/>
          <w:sz w:val="24"/>
          <w:szCs w:val="24"/>
          <w:vertAlign w:val="superscript"/>
        </w:rPr>
        <w:t>th</w:t>
      </w:r>
      <w:r w:rsidRPr="004012EC">
        <w:rPr>
          <w:rFonts w:cs="Arial"/>
          <w:b w:val="0"/>
          <w:sz w:val="24"/>
          <w:szCs w:val="24"/>
        </w:rPr>
        <w:t xml:space="preserve"> ASEAN-CER IPF.</w:t>
      </w:r>
    </w:p>
    <w:p w14:paraId="7DD1F264" w14:textId="77777777" w:rsidR="004012EC" w:rsidRDefault="004012EC" w:rsidP="00136E33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iCs/>
          <w:sz w:val="24"/>
          <w:szCs w:val="24"/>
        </w:rPr>
      </w:pPr>
    </w:p>
    <w:p w14:paraId="7D8EC512" w14:textId="77777777" w:rsidR="00635B9A" w:rsidRDefault="00635B9A" w:rsidP="00136E33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45CF8669" w14:textId="225EA7EE" w:rsidR="005432C3" w:rsidRPr="0081414A" w:rsidRDefault="00136E33" w:rsidP="0081414A">
      <w:pPr>
        <w:pStyle w:val="ListParagraph"/>
        <w:spacing w:after="0" w:line="23" w:lineRule="atLeast"/>
        <w:ind w:left="0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10EAD">
        <w:rPr>
          <w:rFonts w:ascii="Arial" w:hAnsi="Arial" w:cs="Arial"/>
          <w:iCs/>
          <w:color w:val="000000" w:themeColor="text1"/>
          <w:sz w:val="24"/>
          <w:szCs w:val="24"/>
        </w:rPr>
        <w:t>--- *** ---</w:t>
      </w:r>
    </w:p>
    <w:sectPr w:rsidR="005432C3" w:rsidRPr="0081414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1B77" w14:textId="77777777" w:rsidR="00C52A8B" w:rsidRDefault="00C52A8B" w:rsidP="00F9028B">
      <w:r>
        <w:separator/>
      </w:r>
    </w:p>
  </w:endnote>
  <w:endnote w:type="continuationSeparator" w:id="0">
    <w:p w14:paraId="48EA1D8E" w14:textId="77777777" w:rsidR="00C52A8B" w:rsidRDefault="00C52A8B" w:rsidP="00F9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CDC7" w14:textId="77777777" w:rsidR="00F9028B" w:rsidRPr="004102F2" w:rsidRDefault="00F9028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4102F2">
      <w:rPr>
        <w:color w:val="000000" w:themeColor="text1"/>
        <w:spacing w:val="60"/>
        <w:sz w:val="20"/>
        <w:szCs w:val="20"/>
      </w:rPr>
      <w:t>Page</w:t>
    </w:r>
    <w:r w:rsidRPr="004102F2">
      <w:rPr>
        <w:color w:val="000000" w:themeColor="text1"/>
        <w:sz w:val="20"/>
        <w:szCs w:val="20"/>
      </w:rPr>
      <w:t xml:space="preserve"> </w:t>
    </w:r>
    <w:r w:rsidRPr="004102F2">
      <w:rPr>
        <w:color w:val="323E4F" w:themeColor="text2" w:themeShade="BF"/>
        <w:sz w:val="20"/>
        <w:szCs w:val="20"/>
      </w:rPr>
      <w:fldChar w:fldCharType="begin"/>
    </w:r>
    <w:r w:rsidRPr="004102F2">
      <w:rPr>
        <w:color w:val="323E4F" w:themeColor="text2" w:themeShade="BF"/>
        <w:sz w:val="20"/>
        <w:szCs w:val="20"/>
      </w:rPr>
      <w:instrText xml:space="preserve"> PAGE   \* MERGEFORMAT </w:instrText>
    </w:r>
    <w:r w:rsidRPr="004102F2">
      <w:rPr>
        <w:color w:val="323E4F" w:themeColor="text2" w:themeShade="BF"/>
        <w:sz w:val="20"/>
        <w:szCs w:val="20"/>
      </w:rPr>
      <w:fldChar w:fldCharType="separate"/>
    </w:r>
    <w:r w:rsidRPr="004102F2">
      <w:rPr>
        <w:noProof/>
        <w:color w:val="323E4F" w:themeColor="text2" w:themeShade="BF"/>
        <w:sz w:val="20"/>
        <w:szCs w:val="20"/>
      </w:rPr>
      <w:t>1</w:t>
    </w:r>
    <w:r w:rsidRPr="004102F2">
      <w:rPr>
        <w:color w:val="323E4F" w:themeColor="text2" w:themeShade="BF"/>
        <w:sz w:val="20"/>
        <w:szCs w:val="20"/>
      </w:rPr>
      <w:fldChar w:fldCharType="end"/>
    </w:r>
    <w:r w:rsidRPr="004102F2">
      <w:rPr>
        <w:color w:val="323E4F" w:themeColor="text2" w:themeShade="BF"/>
        <w:sz w:val="20"/>
        <w:szCs w:val="20"/>
      </w:rPr>
      <w:t xml:space="preserve"> | </w:t>
    </w:r>
    <w:r w:rsidRPr="004102F2">
      <w:rPr>
        <w:color w:val="323E4F" w:themeColor="text2" w:themeShade="BF"/>
        <w:sz w:val="20"/>
        <w:szCs w:val="20"/>
      </w:rPr>
      <w:fldChar w:fldCharType="begin"/>
    </w:r>
    <w:r w:rsidRPr="004102F2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4102F2">
      <w:rPr>
        <w:color w:val="323E4F" w:themeColor="text2" w:themeShade="BF"/>
        <w:sz w:val="20"/>
        <w:szCs w:val="20"/>
      </w:rPr>
      <w:fldChar w:fldCharType="separate"/>
    </w:r>
    <w:r w:rsidRPr="004102F2">
      <w:rPr>
        <w:noProof/>
        <w:color w:val="323E4F" w:themeColor="text2" w:themeShade="BF"/>
        <w:sz w:val="20"/>
        <w:szCs w:val="20"/>
      </w:rPr>
      <w:t>1</w:t>
    </w:r>
    <w:r w:rsidRPr="004102F2">
      <w:rPr>
        <w:color w:val="323E4F" w:themeColor="text2" w:themeShade="BF"/>
        <w:sz w:val="20"/>
        <w:szCs w:val="20"/>
      </w:rPr>
      <w:fldChar w:fldCharType="end"/>
    </w:r>
  </w:p>
  <w:p w14:paraId="56BC02CC" w14:textId="77777777" w:rsidR="00F9028B" w:rsidRDefault="00F90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AD7A" w14:textId="77777777" w:rsidR="00C52A8B" w:rsidRDefault="00C52A8B" w:rsidP="00F9028B">
      <w:r>
        <w:separator/>
      </w:r>
    </w:p>
  </w:footnote>
  <w:footnote w:type="continuationSeparator" w:id="0">
    <w:p w14:paraId="7685EEAA" w14:textId="77777777" w:rsidR="00C52A8B" w:rsidRDefault="00C52A8B" w:rsidP="00F9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7187" w14:textId="61E297D1" w:rsidR="00DF553B" w:rsidRPr="00762009" w:rsidRDefault="00003727" w:rsidP="00762009">
    <w:pPr>
      <w:pStyle w:val="Header"/>
      <w:jc w:val="right"/>
      <w:rPr>
        <w:i/>
        <w:iCs/>
      </w:rPr>
    </w:pPr>
    <w:r>
      <w:rPr>
        <w:i/>
        <w:iCs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7A3"/>
    <w:multiLevelType w:val="hybridMultilevel"/>
    <w:tmpl w:val="30CC5B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850"/>
    <w:multiLevelType w:val="hybridMultilevel"/>
    <w:tmpl w:val="3F70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53F2"/>
    <w:multiLevelType w:val="hybridMultilevel"/>
    <w:tmpl w:val="C960094A"/>
    <w:lvl w:ilvl="0" w:tplc="9C643D7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0C83"/>
    <w:multiLevelType w:val="hybridMultilevel"/>
    <w:tmpl w:val="96EC4460"/>
    <w:lvl w:ilvl="0" w:tplc="A14097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F59ED"/>
    <w:multiLevelType w:val="multilevel"/>
    <w:tmpl w:val="4C0829B6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C317029"/>
    <w:multiLevelType w:val="hybridMultilevel"/>
    <w:tmpl w:val="DC9CD8E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0801"/>
    <w:multiLevelType w:val="hybridMultilevel"/>
    <w:tmpl w:val="8B40BE94"/>
    <w:lvl w:ilvl="0" w:tplc="2180819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1167449">
    <w:abstractNumId w:val="1"/>
  </w:num>
  <w:num w:numId="2" w16cid:durableId="543102212">
    <w:abstractNumId w:val="5"/>
  </w:num>
  <w:num w:numId="3" w16cid:durableId="674577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4114249">
    <w:abstractNumId w:val="0"/>
  </w:num>
  <w:num w:numId="5" w16cid:durableId="1812213043">
    <w:abstractNumId w:val="3"/>
  </w:num>
  <w:num w:numId="6" w16cid:durableId="1617563156">
    <w:abstractNumId w:val="6"/>
  </w:num>
  <w:num w:numId="7" w16cid:durableId="1116560499">
    <w:abstractNumId w:val="2"/>
  </w:num>
  <w:num w:numId="8" w16cid:durableId="148284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B"/>
    <w:rsid w:val="00003727"/>
    <w:rsid w:val="00014FE5"/>
    <w:rsid w:val="00026132"/>
    <w:rsid w:val="00052FA1"/>
    <w:rsid w:val="00066088"/>
    <w:rsid w:val="00066290"/>
    <w:rsid w:val="00081181"/>
    <w:rsid w:val="00084F2F"/>
    <w:rsid w:val="000940E2"/>
    <w:rsid w:val="000A4B4A"/>
    <w:rsid w:val="000C04E5"/>
    <w:rsid w:val="000D7DC7"/>
    <w:rsid w:val="000E62B7"/>
    <w:rsid w:val="001350D6"/>
    <w:rsid w:val="00135D3C"/>
    <w:rsid w:val="00136E33"/>
    <w:rsid w:val="00140F29"/>
    <w:rsid w:val="00184576"/>
    <w:rsid w:val="00194827"/>
    <w:rsid w:val="001B7365"/>
    <w:rsid w:val="001D4057"/>
    <w:rsid w:val="001E094F"/>
    <w:rsid w:val="001F23B0"/>
    <w:rsid w:val="001F2877"/>
    <w:rsid w:val="001F3221"/>
    <w:rsid w:val="0021550F"/>
    <w:rsid w:val="00230975"/>
    <w:rsid w:val="00246EEC"/>
    <w:rsid w:val="0025756F"/>
    <w:rsid w:val="00264CDE"/>
    <w:rsid w:val="002874EB"/>
    <w:rsid w:val="002A7453"/>
    <w:rsid w:val="002C6978"/>
    <w:rsid w:val="0032275C"/>
    <w:rsid w:val="00323C3B"/>
    <w:rsid w:val="0034662E"/>
    <w:rsid w:val="00347FE0"/>
    <w:rsid w:val="003827EC"/>
    <w:rsid w:val="003C0EC6"/>
    <w:rsid w:val="003E3A7A"/>
    <w:rsid w:val="003F5468"/>
    <w:rsid w:val="004012EC"/>
    <w:rsid w:val="00404CAA"/>
    <w:rsid w:val="004102F2"/>
    <w:rsid w:val="004176C7"/>
    <w:rsid w:val="004411D6"/>
    <w:rsid w:val="00456F72"/>
    <w:rsid w:val="00475576"/>
    <w:rsid w:val="00482E1B"/>
    <w:rsid w:val="004F0CDC"/>
    <w:rsid w:val="00513007"/>
    <w:rsid w:val="00543101"/>
    <w:rsid w:val="005432C3"/>
    <w:rsid w:val="00545FE6"/>
    <w:rsid w:val="0055607E"/>
    <w:rsid w:val="0057243E"/>
    <w:rsid w:val="005B1880"/>
    <w:rsid w:val="005C106D"/>
    <w:rsid w:val="005E26E2"/>
    <w:rsid w:val="005E29FE"/>
    <w:rsid w:val="005F093B"/>
    <w:rsid w:val="00635B9A"/>
    <w:rsid w:val="00651E5E"/>
    <w:rsid w:val="00653298"/>
    <w:rsid w:val="0065591D"/>
    <w:rsid w:val="006A2D40"/>
    <w:rsid w:val="006B54A8"/>
    <w:rsid w:val="006C22C1"/>
    <w:rsid w:val="006F5EB3"/>
    <w:rsid w:val="007553D3"/>
    <w:rsid w:val="00762009"/>
    <w:rsid w:val="007857F1"/>
    <w:rsid w:val="007A1085"/>
    <w:rsid w:val="007B5797"/>
    <w:rsid w:val="007B695F"/>
    <w:rsid w:val="007D0AE3"/>
    <w:rsid w:val="007D5160"/>
    <w:rsid w:val="007F3C25"/>
    <w:rsid w:val="007F79F3"/>
    <w:rsid w:val="007F7C57"/>
    <w:rsid w:val="0081414A"/>
    <w:rsid w:val="00850F30"/>
    <w:rsid w:val="008812F2"/>
    <w:rsid w:val="0089717C"/>
    <w:rsid w:val="008A3469"/>
    <w:rsid w:val="008A4D5D"/>
    <w:rsid w:val="008B4B3B"/>
    <w:rsid w:val="008F188E"/>
    <w:rsid w:val="008F43EC"/>
    <w:rsid w:val="00907117"/>
    <w:rsid w:val="009173A4"/>
    <w:rsid w:val="00931FFD"/>
    <w:rsid w:val="00967A6F"/>
    <w:rsid w:val="00970090"/>
    <w:rsid w:val="009D1637"/>
    <w:rsid w:val="009D2D1B"/>
    <w:rsid w:val="009F6CF2"/>
    <w:rsid w:val="00A209F7"/>
    <w:rsid w:val="00A378BF"/>
    <w:rsid w:val="00A5099A"/>
    <w:rsid w:val="00A82AA7"/>
    <w:rsid w:val="00A94309"/>
    <w:rsid w:val="00AE4894"/>
    <w:rsid w:val="00B07E95"/>
    <w:rsid w:val="00B220E5"/>
    <w:rsid w:val="00B40CB7"/>
    <w:rsid w:val="00B4601F"/>
    <w:rsid w:val="00B46422"/>
    <w:rsid w:val="00B556ED"/>
    <w:rsid w:val="00BA26DD"/>
    <w:rsid w:val="00BB2787"/>
    <w:rsid w:val="00BB7FB2"/>
    <w:rsid w:val="00BC7662"/>
    <w:rsid w:val="00BD0411"/>
    <w:rsid w:val="00BD15E7"/>
    <w:rsid w:val="00BD633B"/>
    <w:rsid w:val="00BE603A"/>
    <w:rsid w:val="00C10708"/>
    <w:rsid w:val="00C1667E"/>
    <w:rsid w:val="00C52A8B"/>
    <w:rsid w:val="00C54A6D"/>
    <w:rsid w:val="00C80FA0"/>
    <w:rsid w:val="00CB3B9B"/>
    <w:rsid w:val="00CC520D"/>
    <w:rsid w:val="00CE4AA2"/>
    <w:rsid w:val="00CF19AB"/>
    <w:rsid w:val="00D17CDF"/>
    <w:rsid w:val="00D32819"/>
    <w:rsid w:val="00D364E1"/>
    <w:rsid w:val="00D701BD"/>
    <w:rsid w:val="00DA2174"/>
    <w:rsid w:val="00DF553B"/>
    <w:rsid w:val="00E408A8"/>
    <w:rsid w:val="00E81F59"/>
    <w:rsid w:val="00E83174"/>
    <w:rsid w:val="00E833F7"/>
    <w:rsid w:val="00E92463"/>
    <w:rsid w:val="00EC71F8"/>
    <w:rsid w:val="00EE1BAC"/>
    <w:rsid w:val="00EE23B1"/>
    <w:rsid w:val="00F070C7"/>
    <w:rsid w:val="00F13963"/>
    <w:rsid w:val="00F14465"/>
    <w:rsid w:val="00F60B2F"/>
    <w:rsid w:val="00F9028B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CFBBF"/>
  <w15:chartTrackingRefBased/>
  <w15:docId w15:val="{1266BAFB-B410-489A-A899-1E8FEA07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C3"/>
    <w:pPr>
      <w:spacing w:after="0" w:line="240" w:lineRule="auto"/>
      <w:jc w:val="both"/>
    </w:pPr>
    <w:rPr>
      <w:rFonts w:ascii="Arial" w:eastAsia="Times New Roman" w:hAnsi="Arial" w:cs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MFAT"/>
    <w:basedOn w:val="Normal"/>
    <w:link w:val="TitleChar"/>
    <w:uiPriority w:val="10"/>
    <w:qFormat/>
    <w:rsid w:val="005432C3"/>
    <w:pPr>
      <w:jc w:val="center"/>
      <w:outlineLvl w:val="0"/>
    </w:pPr>
    <w:rPr>
      <w:rFonts w:cs="Times New Roman"/>
      <w:b/>
      <w:bCs/>
      <w:kern w:val="28"/>
    </w:rPr>
  </w:style>
  <w:style w:type="character" w:customStyle="1" w:styleId="TitleChar">
    <w:name w:val="Title Char"/>
    <w:aliases w:val="Title MFAT Char"/>
    <w:basedOn w:val="DefaultParagraphFont"/>
    <w:link w:val="Title"/>
    <w:uiPriority w:val="10"/>
    <w:rsid w:val="005432C3"/>
    <w:rPr>
      <w:rFonts w:ascii="Arial" w:eastAsia="Times New Roman" w:hAnsi="Arial" w:cs="Times New Roman"/>
      <w:b/>
      <w:bCs/>
      <w:kern w:val="28"/>
      <w:lang w:val="en-GB"/>
    </w:rPr>
  </w:style>
  <w:style w:type="table" w:styleId="TableGrid">
    <w:name w:val="Table Grid"/>
    <w:basedOn w:val="TableNormal"/>
    <w:uiPriority w:val="59"/>
    <w:rsid w:val="005432C3"/>
    <w:pPr>
      <w:spacing w:after="0" w:line="240" w:lineRule="auto"/>
    </w:pPr>
    <w:rPr>
      <w:rFonts w:ascii="Arial" w:eastAsia="Calibri" w:hAnsi="Arial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 para,Dot pt,F5 List Paragraph,List Paragraph1,No Spacing1,List Paragraph Char Char Char,Indicator Text,Numbered Para 1,Bullet 1,MAIN CONTENT,List Paragraph12,List Paragraph2,Normal numbered,OBC Bullet,Recommendation,List Paragraph11,L"/>
    <w:basedOn w:val="Normal"/>
    <w:link w:val="ListParagraphChar"/>
    <w:uiPriority w:val="34"/>
    <w:qFormat/>
    <w:rsid w:val="005432C3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lang w:val="en-AU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Bullet 1 Char,MAIN CONTENT Char,List Paragraph12 Char,OBC Bullet Char"/>
    <w:basedOn w:val="DefaultParagraphFont"/>
    <w:link w:val="ListParagraph"/>
    <w:uiPriority w:val="34"/>
    <w:qFormat/>
    <w:rsid w:val="005432C3"/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F90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8B"/>
    <w:rPr>
      <w:rFonts w:ascii="Arial" w:eastAsia="Times New Roman" w:hAnsi="Arial" w:cs="Helvetic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8B"/>
    <w:rPr>
      <w:rFonts w:ascii="Arial" w:eastAsia="Times New Roman" w:hAnsi="Arial" w:cs="Helvetic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75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6C7"/>
    <w:rPr>
      <w:rFonts w:ascii="Arial" w:eastAsia="Times New Roman" w:hAnsi="Arial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6C7"/>
    <w:rPr>
      <w:rFonts w:ascii="Arial" w:eastAsia="Times New Roman" w:hAnsi="Arial" w:cs="Helvetic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43101"/>
    <w:pPr>
      <w:spacing w:after="0" w:line="240" w:lineRule="auto"/>
    </w:pPr>
    <w:rPr>
      <w:rFonts w:ascii="Arial" w:eastAsia="Times New Roman" w:hAnsi="Arial" w:cs="Helve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37713CE59D54AA2E2A917B51B6334" ma:contentTypeVersion="10" ma:contentTypeDescription="Create a new document." ma:contentTypeScope="" ma:versionID="d1ccd964a1aa24ac00e2a0e29bf8b6ac">
  <xsd:schema xmlns:xsd="http://www.w3.org/2001/XMLSchema" xmlns:xs="http://www.w3.org/2001/XMLSchema" xmlns:p="http://schemas.microsoft.com/office/2006/metadata/properties" xmlns:ns3="e8157b91-b22c-4b17-bbf7-47eae007e5c4" targetNamespace="http://schemas.microsoft.com/office/2006/metadata/properties" ma:root="true" ma:fieldsID="2371e4708f2db1d8d3fb8ec630656863" ns3:_="">
    <xsd:import namespace="e8157b91-b22c-4b17-bbf7-47eae007e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7b91-b22c-4b17-bbf7-47eae007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47C03-1AB3-44A5-9AE9-FB5EAF48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7b91-b22c-4b17-bbf7-47eae007e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FC933-05E7-4221-92D3-BB962B1ED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2ECBB-FC6B-46EA-9BAC-3A9AE2C7DC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678F85-873A-4F6B-AB0E-091601888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Rosanty</dc:creator>
  <cp:keywords/>
  <dc:description/>
  <cp:lastModifiedBy>Anki Agustrin</cp:lastModifiedBy>
  <cp:revision>4</cp:revision>
  <dcterms:created xsi:type="dcterms:W3CDTF">2023-09-09T05:30:00Z</dcterms:created>
  <dcterms:modified xsi:type="dcterms:W3CDTF">2023-09-13T09:13:00Z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2022-02-17T03:26:33Z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20b6be35-9f8e-4199-b912-d9c3659cf4b3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0x01010071F37713CE59D54AA2E2A917B51B6334</vt:lpwstr>
  </property>
</Properties>
</file>