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2285"/>
        <w:gridCol w:w="2108"/>
      </w:tblGrid>
      <w:tr w:rsidR="005432C3" w:rsidRPr="00515D58" w14:paraId="121F20A6" w14:textId="77777777" w:rsidTr="00A61B09">
        <w:trPr>
          <w:jc w:val="center"/>
        </w:trPr>
        <w:tc>
          <w:tcPr>
            <w:tcW w:w="1190" w:type="dxa"/>
            <w:vAlign w:val="center"/>
          </w:tcPr>
          <w:p w14:paraId="1D32CF87" w14:textId="77777777" w:rsidR="005432C3" w:rsidRPr="00515D58" w:rsidRDefault="005432C3" w:rsidP="00A61B09">
            <w:pPr>
              <w:pStyle w:val="Title"/>
              <w:tabs>
                <w:tab w:val="left" w:pos="2268"/>
              </w:tabs>
              <w:spacing w:line="23" w:lineRule="atLeast"/>
              <w:contextualSpacing/>
              <w:rPr>
                <w:rFonts w:cs="Arial"/>
                <w:color w:val="000000" w:themeColor="text1"/>
                <w:szCs w:val="24"/>
              </w:rPr>
            </w:pPr>
            <w:bookmarkStart w:id="0" w:name="_Hlk78219390"/>
            <w:r w:rsidRPr="00515D58">
              <w:rPr>
                <w:rFonts w:cs="Arial"/>
                <w:noProof/>
                <w:color w:val="000000" w:themeColor="text1"/>
                <w:szCs w:val="24"/>
              </w:rPr>
              <w:drawing>
                <wp:inline distT="0" distB="0" distL="0" distR="0" wp14:anchorId="4F34356E" wp14:editId="20F28E7C">
                  <wp:extent cx="701675" cy="701675"/>
                  <wp:effectExtent l="0" t="0" r="9525" b="9525"/>
                  <wp:docPr id="1" name="Picture 1" descr="Description: Description: ASEAN Logo (for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SEAN Logo (for Computer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p>
        </w:tc>
        <w:tc>
          <w:tcPr>
            <w:tcW w:w="2285" w:type="dxa"/>
            <w:vAlign w:val="center"/>
          </w:tcPr>
          <w:p w14:paraId="415042DD" w14:textId="77777777" w:rsidR="005432C3" w:rsidRPr="00515D58" w:rsidRDefault="005432C3" w:rsidP="00A61B09">
            <w:pPr>
              <w:pStyle w:val="Title"/>
              <w:tabs>
                <w:tab w:val="left" w:pos="2268"/>
              </w:tabs>
              <w:spacing w:line="23" w:lineRule="atLeast"/>
              <w:contextualSpacing/>
              <w:rPr>
                <w:rFonts w:cs="Arial"/>
                <w:color w:val="000000" w:themeColor="text1"/>
                <w:szCs w:val="24"/>
              </w:rPr>
            </w:pPr>
            <w:r w:rsidRPr="00515D58">
              <w:rPr>
                <w:rFonts w:cs="Arial"/>
                <w:noProof/>
                <w:color w:val="000000" w:themeColor="text1"/>
                <w:szCs w:val="24"/>
              </w:rPr>
              <w:drawing>
                <wp:inline distT="0" distB="0" distL="0" distR="0" wp14:anchorId="1450F681" wp14:editId="010D62F9">
                  <wp:extent cx="1095375" cy="552450"/>
                  <wp:effectExtent l="0" t="0" r="9525" b="0"/>
                  <wp:docPr id="2" name="Picture 4" descr="Description: Description: Description: National Flag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National Flag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tc>
        <w:tc>
          <w:tcPr>
            <w:tcW w:w="2108" w:type="dxa"/>
            <w:vAlign w:val="center"/>
          </w:tcPr>
          <w:p w14:paraId="3F21E370" w14:textId="77777777" w:rsidR="005432C3" w:rsidRPr="00515D58" w:rsidRDefault="005432C3" w:rsidP="00A61B09">
            <w:pPr>
              <w:pStyle w:val="Title"/>
              <w:tabs>
                <w:tab w:val="left" w:pos="2268"/>
              </w:tabs>
              <w:spacing w:line="23" w:lineRule="atLeast"/>
              <w:contextualSpacing/>
              <w:rPr>
                <w:rFonts w:cs="Arial"/>
                <w:color w:val="000000" w:themeColor="text1"/>
                <w:szCs w:val="24"/>
              </w:rPr>
            </w:pPr>
            <w:r w:rsidRPr="00515D58">
              <w:rPr>
                <w:rFonts w:cs="Arial"/>
                <w:noProof/>
                <w:color w:val="000000" w:themeColor="text1"/>
                <w:szCs w:val="24"/>
              </w:rPr>
              <w:drawing>
                <wp:inline distT="0" distB="0" distL="0" distR="0" wp14:anchorId="799A8F18" wp14:editId="3970851B">
                  <wp:extent cx="1047750" cy="563413"/>
                  <wp:effectExtent l="0" t="0" r="0" b="8255"/>
                  <wp:docPr id="3" name="Picture 5" descr="Description: Description: Description: National Flag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National Flag of New Zea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63413"/>
                          </a:xfrm>
                          <a:prstGeom prst="rect">
                            <a:avLst/>
                          </a:prstGeom>
                          <a:noFill/>
                          <a:ln>
                            <a:noFill/>
                          </a:ln>
                        </pic:spPr>
                      </pic:pic>
                    </a:graphicData>
                  </a:graphic>
                </wp:inline>
              </w:drawing>
            </w:r>
          </w:p>
        </w:tc>
      </w:tr>
    </w:tbl>
    <w:p w14:paraId="1DA40DCB" w14:textId="48462392" w:rsidR="00323C3B" w:rsidRPr="00515D58" w:rsidRDefault="00323C3B">
      <w:pPr>
        <w:rPr>
          <w:sz w:val="24"/>
          <w:szCs w:val="24"/>
        </w:rPr>
      </w:pPr>
    </w:p>
    <w:bookmarkEnd w:id="0"/>
    <w:p w14:paraId="7F293AA1" w14:textId="77777777" w:rsidR="003A0A6B" w:rsidRPr="003A0A6B" w:rsidRDefault="003A0A6B" w:rsidP="003A0A6B">
      <w:pPr>
        <w:pStyle w:val="Title"/>
        <w:tabs>
          <w:tab w:val="left" w:pos="2268"/>
        </w:tabs>
        <w:rPr>
          <w:rFonts w:cs="Arial"/>
          <w:color w:val="000000" w:themeColor="text1"/>
          <w:sz w:val="24"/>
        </w:rPr>
      </w:pPr>
      <w:r w:rsidRPr="003A0A6B">
        <w:rPr>
          <w:rFonts w:cs="Arial"/>
          <w:sz w:val="24"/>
        </w:rPr>
        <w:t xml:space="preserve">THE SECOND INTER-SESSIONAL </w:t>
      </w:r>
      <w:r w:rsidRPr="003A0A6B">
        <w:rPr>
          <w:rFonts w:cs="Arial"/>
          <w:color w:val="000000" w:themeColor="text1"/>
          <w:sz w:val="24"/>
        </w:rPr>
        <w:t xml:space="preserve">ASEAN-AUSTRALIA-NEW ZEALAND FREE TRADE AREA (AANZFTA) </w:t>
      </w:r>
      <w:r w:rsidRPr="003A0A6B">
        <w:rPr>
          <w:rFonts w:cs="Arial"/>
          <w:sz w:val="24"/>
        </w:rPr>
        <w:t>JOINT COMMITTEE MEETING</w:t>
      </w:r>
    </w:p>
    <w:p w14:paraId="6BBB1D55" w14:textId="74ECEAEB" w:rsidR="003A0A6B" w:rsidRPr="003A0A6B" w:rsidRDefault="003A0A6B" w:rsidP="003A0A6B">
      <w:pPr>
        <w:pStyle w:val="Title"/>
        <w:numPr>
          <w:ilvl w:val="0"/>
          <w:numId w:val="14"/>
        </w:numPr>
        <w:tabs>
          <w:tab w:val="left" w:pos="2268"/>
        </w:tabs>
        <w:rPr>
          <w:rFonts w:cs="Arial"/>
          <w:b w:val="0"/>
          <w:color w:val="000000" w:themeColor="text1"/>
          <w:sz w:val="24"/>
        </w:rPr>
      </w:pPr>
      <w:r w:rsidRPr="003A0A6B">
        <w:rPr>
          <w:rFonts w:cs="Arial"/>
          <w:b w:val="0"/>
          <w:sz w:val="24"/>
        </w:rPr>
        <w:t>November 2022</w:t>
      </w:r>
      <w:r w:rsidRPr="003A0A6B">
        <w:rPr>
          <w:rFonts w:cs="Arial"/>
          <w:b w:val="0"/>
          <w:color w:val="000000" w:themeColor="text1"/>
          <w:sz w:val="24"/>
        </w:rPr>
        <w:t xml:space="preserve">, Video Conference </w:t>
      </w:r>
    </w:p>
    <w:p w14:paraId="7BD25D8A" w14:textId="77777777" w:rsidR="003A14AC" w:rsidRPr="00515D58" w:rsidRDefault="003A14AC" w:rsidP="003A14AC">
      <w:pPr>
        <w:pStyle w:val="Title"/>
        <w:tabs>
          <w:tab w:val="left" w:pos="2268"/>
        </w:tabs>
        <w:ind w:left="720"/>
        <w:jc w:val="both"/>
        <w:rPr>
          <w:rFonts w:cs="Arial"/>
          <w:color w:val="000000"/>
          <w:sz w:val="24"/>
          <w:szCs w:val="24"/>
        </w:rPr>
      </w:pPr>
    </w:p>
    <w:p w14:paraId="3F16CFF1" w14:textId="77777777" w:rsidR="003A0A6B" w:rsidRDefault="003A0A6B" w:rsidP="003A0A6B">
      <w:pPr>
        <w:pStyle w:val="Title"/>
        <w:contextualSpacing/>
        <w:jc w:val="both"/>
        <w:rPr>
          <w:rFonts w:cs="Arial"/>
          <w:color w:val="000000" w:themeColor="text1"/>
          <w:sz w:val="24"/>
          <w:szCs w:val="24"/>
        </w:rPr>
      </w:pPr>
    </w:p>
    <w:p w14:paraId="22ECE3D3" w14:textId="2A9C0920" w:rsidR="003A0A6B" w:rsidRPr="003A0A6B" w:rsidRDefault="003A0A6B" w:rsidP="003A0A6B">
      <w:pPr>
        <w:pStyle w:val="Title"/>
        <w:contextualSpacing/>
        <w:jc w:val="both"/>
        <w:rPr>
          <w:rFonts w:cs="Arial"/>
          <w:b w:val="0"/>
          <w:bCs w:val="0"/>
          <w:color w:val="000000" w:themeColor="text1"/>
          <w:sz w:val="24"/>
        </w:rPr>
      </w:pPr>
      <w:r w:rsidRPr="003A0A6B">
        <w:rPr>
          <w:rFonts w:cs="Arial"/>
          <w:b w:val="0"/>
          <w:bCs w:val="0"/>
          <w:color w:val="000000" w:themeColor="text1"/>
          <w:sz w:val="24"/>
        </w:rPr>
        <w:t>The Second Intersessional Meeting of the AANZFTA Joint Committee (2</w:t>
      </w:r>
      <w:r w:rsidRPr="003A0A6B">
        <w:rPr>
          <w:rFonts w:cs="Arial"/>
          <w:b w:val="0"/>
          <w:bCs w:val="0"/>
          <w:color w:val="000000" w:themeColor="text1"/>
          <w:sz w:val="24"/>
          <w:vertAlign w:val="superscript"/>
        </w:rPr>
        <w:t>nd</w:t>
      </w:r>
      <w:r w:rsidRPr="003A0A6B">
        <w:rPr>
          <w:rFonts w:cs="Arial"/>
          <w:b w:val="0"/>
          <w:bCs w:val="0"/>
          <w:color w:val="000000" w:themeColor="text1"/>
          <w:sz w:val="24"/>
        </w:rPr>
        <w:t xml:space="preserve"> ISSL FJC) was held on 3 November 2022 in a virtual format. Representatives from all ASEAN Member States (AMS), except the Philippines; Australia; New Zealand; and staff members from the ASEAN Secretariat, attended the Meeting, which was co-chaired by:</w:t>
      </w:r>
    </w:p>
    <w:p w14:paraId="70D2B802" w14:textId="77777777" w:rsidR="003A14AC" w:rsidRPr="00515D58" w:rsidRDefault="003A14AC" w:rsidP="008B7F36">
      <w:pPr>
        <w:pStyle w:val="Title"/>
        <w:tabs>
          <w:tab w:val="left" w:pos="0"/>
        </w:tabs>
        <w:spacing w:line="23" w:lineRule="atLeast"/>
        <w:contextualSpacing/>
        <w:jc w:val="both"/>
        <w:rPr>
          <w:rFonts w:cs="Arial"/>
          <w:b w:val="0"/>
          <w:bCs w:val="0"/>
          <w:color w:val="000000" w:themeColor="text1"/>
          <w:sz w:val="24"/>
          <w:szCs w:val="24"/>
        </w:rPr>
      </w:pPr>
    </w:p>
    <w:p w14:paraId="21734E0A" w14:textId="77777777" w:rsidR="00E66BA7" w:rsidRPr="00B445AB" w:rsidRDefault="00E66BA7" w:rsidP="00E66BA7">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B445AB">
        <w:rPr>
          <w:rFonts w:cs="Arial"/>
          <w:b w:val="0"/>
          <w:color w:val="000000" w:themeColor="text1"/>
          <w:sz w:val="24"/>
          <w:szCs w:val="24"/>
        </w:rPr>
        <w:t>Mr. Yusdiman Saman, Acting Assistant Director, Trade Division, Ministry of Finance and Economy, Brunei Darussalam, on behalf of the ASEAN Member States;</w:t>
      </w:r>
    </w:p>
    <w:p w14:paraId="42C291C6" w14:textId="77777777" w:rsidR="008B7F36" w:rsidRPr="00515D58" w:rsidRDefault="008B7F36" w:rsidP="008B7F36">
      <w:pPr>
        <w:pStyle w:val="Title"/>
        <w:tabs>
          <w:tab w:val="left" w:pos="0"/>
        </w:tabs>
        <w:spacing w:line="23" w:lineRule="atLeast"/>
        <w:ind w:left="993"/>
        <w:contextualSpacing/>
        <w:jc w:val="both"/>
        <w:rPr>
          <w:rFonts w:cs="Arial"/>
          <w:b w:val="0"/>
          <w:color w:val="000000" w:themeColor="text1"/>
          <w:sz w:val="24"/>
          <w:szCs w:val="24"/>
        </w:rPr>
      </w:pPr>
    </w:p>
    <w:p w14:paraId="3D5F2A9A" w14:textId="77777777" w:rsidR="008B7F36" w:rsidRPr="00515D58"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515D58">
        <w:rPr>
          <w:rFonts w:cs="Arial"/>
          <w:b w:val="0"/>
          <w:color w:val="000000" w:themeColor="text1"/>
          <w:sz w:val="24"/>
          <w:szCs w:val="24"/>
        </w:rPr>
        <w:t>Ms. Juliana Nam, Assistant Secretary, FTA Policy and Implementation Branch, Department of Foreign Affairs and Trade, for Australia; and</w:t>
      </w:r>
    </w:p>
    <w:p w14:paraId="06F22F57" w14:textId="77777777" w:rsidR="008B7F36" w:rsidRPr="00515D58" w:rsidRDefault="008B7F36" w:rsidP="008B7F36">
      <w:pPr>
        <w:pStyle w:val="ListParagraph"/>
        <w:spacing w:after="0" w:line="23" w:lineRule="atLeast"/>
        <w:ind w:left="993" w:hanging="426"/>
        <w:rPr>
          <w:rFonts w:ascii="Arial" w:hAnsi="Arial" w:cs="Arial"/>
          <w:b/>
          <w:color w:val="000000" w:themeColor="text1"/>
          <w:sz w:val="24"/>
          <w:szCs w:val="24"/>
        </w:rPr>
      </w:pPr>
    </w:p>
    <w:p w14:paraId="140EC478" w14:textId="77777777" w:rsidR="008B7F36" w:rsidRPr="00515D58"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515D58">
        <w:rPr>
          <w:rFonts w:cs="Arial"/>
          <w:b w:val="0"/>
          <w:color w:val="000000" w:themeColor="text1"/>
          <w:sz w:val="24"/>
          <w:szCs w:val="24"/>
        </w:rPr>
        <w:t>Mr. Keawe Woodmore, Deputy Director General, FTA Implementation Unit, Ministry of Foreign Affairs and Trade, for New Zealand.</w:t>
      </w:r>
    </w:p>
    <w:p w14:paraId="59C1A747" w14:textId="77777777" w:rsidR="00184576" w:rsidRPr="00515D58" w:rsidRDefault="00184576" w:rsidP="005432C3">
      <w:pPr>
        <w:pStyle w:val="Title"/>
        <w:tabs>
          <w:tab w:val="left" w:pos="0"/>
        </w:tabs>
        <w:spacing w:line="23" w:lineRule="atLeast"/>
        <w:contextualSpacing/>
        <w:jc w:val="both"/>
        <w:rPr>
          <w:rFonts w:cs="Arial"/>
          <w:b w:val="0"/>
          <w:color w:val="000000" w:themeColor="text1"/>
          <w:sz w:val="24"/>
          <w:szCs w:val="24"/>
        </w:rPr>
      </w:pPr>
    </w:p>
    <w:p w14:paraId="1A4F9525" w14:textId="671F38E1" w:rsidR="009952AD" w:rsidRPr="00515D58" w:rsidRDefault="003A14AC" w:rsidP="009952AD">
      <w:pPr>
        <w:pStyle w:val="Title"/>
        <w:tabs>
          <w:tab w:val="left" w:pos="0"/>
        </w:tabs>
        <w:spacing w:line="23" w:lineRule="atLeast"/>
        <w:contextualSpacing/>
        <w:jc w:val="both"/>
        <w:rPr>
          <w:rFonts w:cs="Arial"/>
          <w:b w:val="0"/>
          <w:color w:val="000000" w:themeColor="text1"/>
          <w:sz w:val="24"/>
          <w:szCs w:val="24"/>
        </w:rPr>
      </w:pPr>
      <w:r w:rsidRPr="00515D58">
        <w:rPr>
          <w:rFonts w:cs="Arial"/>
          <w:b w:val="0"/>
          <w:color w:val="000000" w:themeColor="text1"/>
          <w:sz w:val="24"/>
          <w:szCs w:val="24"/>
        </w:rPr>
        <w:t>The reporting session focused on subsidiary bodies (SBs) who</w:t>
      </w:r>
      <w:r w:rsidR="00C65B51">
        <w:rPr>
          <w:rFonts w:cs="Arial"/>
          <w:b w:val="0"/>
          <w:color w:val="000000" w:themeColor="text1"/>
          <w:sz w:val="24"/>
          <w:szCs w:val="24"/>
        </w:rPr>
        <w:t xml:space="preserve"> are</w:t>
      </w:r>
      <w:r w:rsidRPr="00515D58">
        <w:rPr>
          <w:rFonts w:cs="Arial"/>
          <w:b w:val="0"/>
          <w:color w:val="000000" w:themeColor="text1"/>
          <w:sz w:val="24"/>
          <w:szCs w:val="24"/>
        </w:rPr>
        <w:t xml:space="preserve"> involve in the AANZFTA upgrade negotiations</w:t>
      </w:r>
      <w:r w:rsidR="005F61DE">
        <w:rPr>
          <w:rFonts w:cs="Arial"/>
          <w:b w:val="0"/>
          <w:color w:val="000000" w:themeColor="text1"/>
          <w:sz w:val="24"/>
          <w:szCs w:val="24"/>
        </w:rPr>
        <w:t xml:space="preserve"> and</w:t>
      </w:r>
      <w:r w:rsidR="005D0B00">
        <w:rPr>
          <w:rFonts w:cs="Arial"/>
          <w:b w:val="0"/>
          <w:color w:val="000000" w:themeColor="text1"/>
          <w:sz w:val="24"/>
          <w:szCs w:val="24"/>
        </w:rPr>
        <w:t>/or</w:t>
      </w:r>
      <w:r w:rsidR="005F61DE">
        <w:rPr>
          <w:rFonts w:cs="Arial"/>
          <w:b w:val="0"/>
          <w:color w:val="000000" w:themeColor="text1"/>
          <w:sz w:val="24"/>
          <w:szCs w:val="24"/>
        </w:rPr>
        <w:t xml:space="preserve"> have yet concluded their chapters/annexes</w:t>
      </w:r>
      <w:r w:rsidRPr="00515D58">
        <w:rPr>
          <w:rFonts w:cs="Arial"/>
          <w:b w:val="0"/>
          <w:color w:val="000000" w:themeColor="text1"/>
          <w:sz w:val="24"/>
          <w:szCs w:val="24"/>
        </w:rPr>
        <w:t xml:space="preserve">. </w:t>
      </w:r>
      <w:r w:rsidR="009952AD" w:rsidRPr="00515D58">
        <w:rPr>
          <w:rFonts w:cs="Arial"/>
          <w:b w:val="0"/>
          <w:color w:val="000000" w:themeColor="text1"/>
          <w:sz w:val="24"/>
          <w:szCs w:val="24"/>
        </w:rPr>
        <w:t>These SBs are:</w:t>
      </w:r>
    </w:p>
    <w:p w14:paraId="7D656E00" w14:textId="03373A69" w:rsidR="0034662E" w:rsidRPr="00515D58" w:rsidRDefault="0034662E" w:rsidP="0034662E">
      <w:pPr>
        <w:rPr>
          <w:rFonts w:cs="Arial"/>
          <w:i/>
          <w:iCs/>
          <w:color w:val="000000" w:themeColor="text1"/>
          <w:sz w:val="24"/>
          <w:szCs w:val="24"/>
        </w:rPr>
      </w:pPr>
    </w:p>
    <w:p w14:paraId="78B6866E" w14:textId="0D502F69" w:rsidR="005D0B00" w:rsidRDefault="005D0B00" w:rsidP="005D0B00">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Trade in Services (CTS)</w:t>
      </w:r>
    </w:p>
    <w:p w14:paraId="583795F3" w14:textId="4A798BF5" w:rsidR="005D0B00" w:rsidRPr="00515D58" w:rsidRDefault="005D0B00" w:rsidP="005D0B00">
      <w:pPr>
        <w:pStyle w:val="ListParagraph"/>
        <w:numPr>
          <w:ilvl w:val="0"/>
          <w:numId w:val="6"/>
        </w:numPr>
        <w:spacing w:after="0" w:line="240" w:lineRule="auto"/>
        <w:rPr>
          <w:rFonts w:ascii="Arial" w:eastAsia="Times New Roman" w:hAnsi="Arial" w:cs="Arial"/>
          <w:i/>
          <w:iCs/>
          <w:color w:val="000000" w:themeColor="text1"/>
          <w:sz w:val="24"/>
          <w:szCs w:val="24"/>
          <w:lang w:val="en-GB"/>
        </w:rPr>
      </w:pPr>
      <w:r>
        <w:rPr>
          <w:rFonts w:ascii="Arial" w:eastAsia="Times New Roman" w:hAnsi="Arial" w:cs="Arial"/>
          <w:i/>
          <w:iCs/>
          <w:color w:val="000000" w:themeColor="text1"/>
          <w:sz w:val="24"/>
          <w:szCs w:val="24"/>
          <w:lang w:val="en-GB"/>
        </w:rPr>
        <w:t>Working Group on Legal and Institutional Issues (WGLII)</w:t>
      </w:r>
    </w:p>
    <w:p w14:paraId="7BAB7450" w14:textId="77777777" w:rsidR="004700FB" w:rsidRPr="00515D58" w:rsidRDefault="004700FB" w:rsidP="004700F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Electronic Commerce (CEC)</w:t>
      </w:r>
    </w:p>
    <w:p w14:paraId="5E5C8824" w14:textId="77777777" w:rsidR="004700FB" w:rsidRPr="00515D58" w:rsidRDefault="004700FB" w:rsidP="004700F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Sub-Committee on Financial Services (SC-FS)</w:t>
      </w:r>
    </w:p>
    <w:p w14:paraId="11713D5E" w14:textId="77777777" w:rsidR="004700FB" w:rsidRPr="00515D58" w:rsidRDefault="004700FB" w:rsidP="004700FB">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Investment (COI)</w:t>
      </w:r>
    </w:p>
    <w:p w14:paraId="38E0FBA2"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Sub-Committee on Rules of Origins (SCROO)</w:t>
      </w:r>
    </w:p>
    <w:p w14:paraId="4504F605" w14:textId="4881B57F" w:rsidR="000E62B7" w:rsidRPr="00515D58" w:rsidRDefault="000E62B7" w:rsidP="003A14AC">
      <w:pPr>
        <w:ind w:left="1080"/>
        <w:rPr>
          <w:rFonts w:cs="Arial"/>
          <w:i/>
          <w:iCs/>
          <w:color w:val="000000" w:themeColor="text1"/>
          <w:sz w:val="24"/>
          <w:szCs w:val="24"/>
        </w:rPr>
      </w:pPr>
      <w:bookmarkStart w:id="1" w:name="_Hlk78219492"/>
    </w:p>
    <w:p w14:paraId="331CAE5E" w14:textId="6E5A0ED5"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FF7F48C" w14:textId="6178921E"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698A7A56" w14:textId="00843599"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6B08E7D3" w14:textId="4FB2812A"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E1202D9" w14:textId="64040975"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9EBCA6A" w14:textId="35C0F01E"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45C87DCC" w14:textId="378EDF37"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7F160E3A" w14:textId="0C2CD1B1"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2E752847" w14:textId="5F96EF60"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3C6A2FEF" w14:textId="77777777"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1FDB3FD" w14:textId="7CEEB099" w:rsidR="0034662E" w:rsidRPr="00515D58" w:rsidRDefault="0034662E" w:rsidP="005432C3">
      <w:pPr>
        <w:pStyle w:val="Title"/>
        <w:tabs>
          <w:tab w:val="left" w:pos="0"/>
        </w:tabs>
        <w:spacing w:line="23" w:lineRule="atLeast"/>
        <w:contextualSpacing/>
        <w:rPr>
          <w:rFonts w:cs="Arial"/>
          <w:bCs w:val="0"/>
          <w:color w:val="000000" w:themeColor="text1"/>
          <w:sz w:val="24"/>
          <w:szCs w:val="24"/>
        </w:rPr>
      </w:pPr>
    </w:p>
    <w:p w14:paraId="26D660CB" w14:textId="6BDEA8E4" w:rsidR="0034662E" w:rsidRPr="00515D58" w:rsidRDefault="0034662E" w:rsidP="00B07E95">
      <w:pPr>
        <w:pStyle w:val="Title"/>
        <w:tabs>
          <w:tab w:val="left" w:pos="0"/>
        </w:tabs>
        <w:spacing w:line="23" w:lineRule="atLeast"/>
        <w:contextualSpacing/>
        <w:jc w:val="both"/>
        <w:rPr>
          <w:rFonts w:cs="Arial"/>
          <w:bCs w:val="0"/>
          <w:color w:val="000000" w:themeColor="text1"/>
          <w:sz w:val="24"/>
          <w:szCs w:val="24"/>
        </w:rPr>
      </w:pPr>
    </w:p>
    <w:p w14:paraId="5802350D" w14:textId="67BA283C" w:rsidR="003A14AC" w:rsidRPr="00515D58" w:rsidRDefault="003A14AC" w:rsidP="00B07E95">
      <w:pPr>
        <w:pStyle w:val="Title"/>
        <w:tabs>
          <w:tab w:val="left" w:pos="0"/>
        </w:tabs>
        <w:spacing w:line="23" w:lineRule="atLeast"/>
        <w:contextualSpacing/>
        <w:jc w:val="both"/>
        <w:rPr>
          <w:rFonts w:cs="Arial"/>
          <w:bCs w:val="0"/>
          <w:color w:val="000000" w:themeColor="text1"/>
          <w:sz w:val="24"/>
          <w:szCs w:val="24"/>
        </w:rPr>
      </w:pPr>
    </w:p>
    <w:p w14:paraId="6BA670F1" w14:textId="77777777" w:rsidR="003A14AC" w:rsidRPr="00515D58" w:rsidRDefault="003A14AC" w:rsidP="00B07E95">
      <w:pPr>
        <w:pStyle w:val="Title"/>
        <w:tabs>
          <w:tab w:val="left" w:pos="0"/>
        </w:tabs>
        <w:spacing w:line="23" w:lineRule="atLeast"/>
        <w:contextualSpacing/>
        <w:jc w:val="both"/>
        <w:rPr>
          <w:rFonts w:cs="Arial"/>
          <w:bCs w:val="0"/>
          <w:color w:val="000000" w:themeColor="text1"/>
          <w:sz w:val="24"/>
          <w:szCs w:val="24"/>
        </w:rPr>
      </w:pPr>
    </w:p>
    <w:p w14:paraId="7BBB1B55" w14:textId="77777777" w:rsidR="000E62B7" w:rsidRPr="00515D58" w:rsidRDefault="000E62B7" w:rsidP="005432C3">
      <w:pPr>
        <w:pStyle w:val="Title"/>
        <w:tabs>
          <w:tab w:val="left" w:pos="0"/>
        </w:tabs>
        <w:spacing w:line="23" w:lineRule="atLeast"/>
        <w:contextualSpacing/>
        <w:rPr>
          <w:rFonts w:cs="Arial"/>
          <w:bCs w:val="0"/>
          <w:color w:val="000000" w:themeColor="text1"/>
          <w:sz w:val="24"/>
          <w:szCs w:val="24"/>
        </w:rPr>
      </w:pPr>
    </w:p>
    <w:p w14:paraId="793046F3" w14:textId="3497F7AA" w:rsidR="005432C3" w:rsidRPr="00515D58" w:rsidRDefault="005432C3" w:rsidP="005432C3">
      <w:pPr>
        <w:pStyle w:val="Title"/>
        <w:tabs>
          <w:tab w:val="left" w:pos="0"/>
        </w:tabs>
        <w:spacing w:line="23" w:lineRule="atLeast"/>
        <w:contextualSpacing/>
        <w:rPr>
          <w:rFonts w:cs="Arial"/>
          <w:bCs w:val="0"/>
          <w:color w:val="000000" w:themeColor="text1"/>
          <w:sz w:val="24"/>
          <w:szCs w:val="24"/>
        </w:rPr>
      </w:pPr>
      <w:r w:rsidRPr="00515D58">
        <w:rPr>
          <w:rFonts w:cs="Arial"/>
          <w:bCs w:val="0"/>
          <w:color w:val="000000" w:themeColor="text1"/>
          <w:sz w:val="24"/>
          <w:szCs w:val="24"/>
        </w:rPr>
        <w:t>SUMMARY OF THE MAIN</w:t>
      </w:r>
      <w:r w:rsidR="00482E1B" w:rsidRPr="00515D58">
        <w:rPr>
          <w:rFonts w:cs="Arial"/>
          <w:bCs w:val="0"/>
          <w:color w:val="000000" w:themeColor="text1"/>
          <w:sz w:val="24"/>
          <w:szCs w:val="24"/>
        </w:rPr>
        <w:t xml:space="preserve"> </w:t>
      </w:r>
      <w:r w:rsidR="00BE603A" w:rsidRPr="00515D58">
        <w:rPr>
          <w:rFonts w:cs="Arial"/>
          <w:bCs w:val="0"/>
          <w:color w:val="000000" w:themeColor="text1"/>
          <w:sz w:val="24"/>
          <w:szCs w:val="24"/>
        </w:rPr>
        <w:t>OUTCOMES</w:t>
      </w:r>
    </w:p>
    <w:bookmarkEnd w:id="1"/>
    <w:p w14:paraId="622DF8AE" w14:textId="7818255E" w:rsidR="00C10708" w:rsidRPr="00515D58" w:rsidRDefault="00C10708" w:rsidP="002F3F97">
      <w:pPr>
        <w:pStyle w:val="Title"/>
        <w:tabs>
          <w:tab w:val="left" w:pos="0"/>
        </w:tabs>
        <w:spacing w:line="23" w:lineRule="atLeast"/>
        <w:contextualSpacing/>
        <w:jc w:val="both"/>
        <w:rPr>
          <w:rFonts w:cs="Arial"/>
          <w:bCs w:val="0"/>
          <w:color w:val="000000" w:themeColor="text1"/>
          <w:sz w:val="24"/>
          <w:szCs w:val="24"/>
        </w:rPr>
      </w:pPr>
    </w:p>
    <w:p w14:paraId="403C30BF" w14:textId="77777777" w:rsidR="00515D58" w:rsidRDefault="00515D58" w:rsidP="00515D58">
      <w:pPr>
        <w:pStyle w:val="Title"/>
        <w:tabs>
          <w:tab w:val="left" w:pos="0"/>
        </w:tabs>
        <w:spacing w:line="23" w:lineRule="atLeast"/>
        <w:contextualSpacing/>
        <w:jc w:val="both"/>
        <w:rPr>
          <w:rFonts w:cs="Arial"/>
          <w:bCs w:val="0"/>
          <w:color w:val="000000" w:themeColor="text1"/>
          <w:sz w:val="24"/>
          <w:szCs w:val="24"/>
        </w:rPr>
      </w:pPr>
    </w:p>
    <w:p w14:paraId="2ADAE39F" w14:textId="77777777" w:rsidR="003A0A6B" w:rsidRDefault="003A0A6B" w:rsidP="003A0A6B">
      <w:pPr>
        <w:pStyle w:val="Title"/>
        <w:numPr>
          <w:ilvl w:val="0"/>
          <w:numId w:val="4"/>
        </w:numPr>
        <w:tabs>
          <w:tab w:val="left" w:pos="0"/>
        </w:tabs>
        <w:spacing w:line="23" w:lineRule="atLeast"/>
        <w:ind w:left="360"/>
        <w:contextualSpacing/>
        <w:jc w:val="both"/>
        <w:rPr>
          <w:rFonts w:cs="Arial"/>
          <w:bCs w:val="0"/>
          <w:color w:val="000000" w:themeColor="text1"/>
          <w:sz w:val="24"/>
          <w:szCs w:val="24"/>
        </w:rPr>
      </w:pPr>
      <w:r>
        <w:rPr>
          <w:rFonts w:cs="Arial"/>
          <w:bCs w:val="0"/>
          <w:color w:val="000000" w:themeColor="text1"/>
          <w:sz w:val="24"/>
          <w:szCs w:val="24"/>
        </w:rPr>
        <w:t>FJC GUIDANCE TO THE SUBSIDIARY BODIES UNDER FJC</w:t>
      </w:r>
    </w:p>
    <w:p w14:paraId="09509B5D" w14:textId="77777777" w:rsidR="00515D58" w:rsidRPr="00515D58" w:rsidRDefault="00515D58" w:rsidP="00515D58">
      <w:pPr>
        <w:pStyle w:val="Title"/>
        <w:tabs>
          <w:tab w:val="left" w:pos="0"/>
        </w:tabs>
        <w:spacing w:line="23" w:lineRule="atLeast"/>
        <w:contextualSpacing/>
        <w:jc w:val="both"/>
        <w:rPr>
          <w:rFonts w:cs="Arial"/>
          <w:sz w:val="24"/>
          <w:szCs w:val="24"/>
        </w:rPr>
      </w:pPr>
    </w:p>
    <w:p w14:paraId="041E8D27" w14:textId="21A5F51A" w:rsidR="003B47F6" w:rsidRPr="004700FB" w:rsidRDefault="004700FB" w:rsidP="003B47F6">
      <w:pPr>
        <w:pStyle w:val="Title"/>
        <w:tabs>
          <w:tab w:val="left" w:pos="0"/>
        </w:tabs>
        <w:spacing w:line="23" w:lineRule="atLeast"/>
        <w:ind w:left="360"/>
        <w:contextualSpacing/>
        <w:jc w:val="both"/>
        <w:rPr>
          <w:rFonts w:cs="Arial"/>
          <w:b w:val="0"/>
          <w:color w:val="000000" w:themeColor="text1"/>
          <w:sz w:val="24"/>
          <w:szCs w:val="24"/>
        </w:rPr>
      </w:pPr>
      <w:r w:rsidRPr="004700FB">
        <w:rPr>
          <w:rFonts w:cs="Arial"/>
          <w:color w:val="000000" w:themeColor="text1"/>
          <w:sz w:val="24"/>
          <w:szCs w:val="24"/>
        </w:rPr>
        <w:t xml:space="preserve">URGED </w:t>
      </w:r>
      <w:r w:rsidRPr="004700FB">
        <w:rPr>
          <w:rFonts w:cs="Arial"/>
          <w:b w:val="0"/>
          <w:color w:val="000000" w:themeColor="text1"/>
          <w:sz w:val="24"/>
          <w:szCs w:val="24"/>
        </w:rPr>
        <w:t>remaining Parties to submit their final Market Access offers and assessments by 7 November 2022.</w:t>
      </w:r>
    </w:p>
    <w:p w14:paraId="76B8BA96" w14:textId="27DB0C06" w:rsidR="004700FB" w:rsidRPr="004700FB" w:rsidRDefault="004700FB" w:rsidP="003B47F6">
      <w:pPr>
        <w:pStyle w:val="Title"/>
        <w:tabs>
          <w:tab w:val="left" w:pos="0"/>
        </w:tabs>
        <w:spacing w:line="23" w:lineRule="atLeast"/>
        <w:ind w:left="360"/>
        <w:contextualSpacing/>
        <w:jc w:val="both"/>
        <w:rPr>
          <w:rFonts w:cs="Arial"/>
          <w:color w:val="000000" w:themeColor="text1"/>
          <w:sz w:val="24"/>
          <w:szCs w:val="24"/>
        </w:rPr>
      </w:pPr>
    </w:p>
    <w:p w14:paraId="6B8AF55B" w14:textId="77777777" w:rsidR="004700FB" w:rsidRPr="004700FB" w:rsidRDefault="004700FB" w:rsidP="004700FB">
      <w:pPr>
        <w:pStyle w:val="ListParagraph"/>
        <w:spacing w:after="0" w:line="240" w:lineRule="auto"/>
        <w:ind w:left="357"/>
        <w:jc w:val="both"/>
        <w:rPr>
          <w:rFonts w:ascii="Arial" w:eastAsia="Arial" w:hAnsi="Arial" w:cs="Arial"/>
          <w:b/>
          <w:bCs/>
          <w:sz w:val="24"/>
          <w:szCs w:val="24"/>
        </w:rPr>
      </w:pPr>
      <w:r w:rsidRPr="004700FB">
        <w:rPr>
          <w:rFonts w:ascii="Arial" w:eastAsia="Arial" w:hAnsi="Arial" w:cs="Arial"/>
          <w:b/>
          <w:bCs/>
          <w:sz w:val="24"/>
          <w:szCs w:val="24"/>
        </w:rPr>
        <w:t>NOTED</w:t>
      </w:r>
      <w:r w:rsidRPr="004700FB">
        <w:rPr>
          <w:rFonts w:ascii="Arial" w:eastAsia="Arial" w:hAnsi="Arial" w:cs="Arial"/>
          <w:bCs/>
          <w:sz w:val="24"/>
          <w:szCs w:val="24"/>
        </w:rPr>
        <w:t xml:space="preserve"> the views that substantial conclusion of the AANZFTA upgrade negotiations would entail the resolution of all policy issues, including Security Exceptions, and not technical matters such as the discussion of the above chapters by the WGLII.</w:t>
      </w:r>
    </w:p>
    <w:p w14:paraId="4CF38D08" w14:textId="77777777" w:rsidR="004700FB" w:rsidRPr="004700FB" w:rsidRDefault="004700FB" w:rsidP="004700FB">
      <w:pPr>
        <w:pStyle w:val="ListParagraph"/>
        <w:rPr>
          <w:rFonts w:ascii="Arial" w:eastAsia="Arial" w:hAnsi="Arial" w:cs="Arial"/>
          <w:b/>
          <w:bCs/>
          <w:sz w:val="24"/>
          <w:szCs w:val="24"/>
        </w:rPr>
      </w:pPr>
    </w:p>
    <w:p w14:paraId="3676582E" w14:textId="0B57DEB9" w:rsidR="004700FB" w:rsidRDefault="004700FB" w:rsidP="004700FB">
      <w:pPr>
        <w:pStyle w:val="ListParagraph"/>
        <w:spacing w:after="0" w:line="240" w:lineRule="auto"/>
        <w:ind w:left="357"/>
        <w:jc w:val="both"/>
        <w:rPr>
          <w:rFonts w:ascii="Arial" w:eastAsia="Arial" w:hAnsi="Arial" w:cs="Arial"/>
          <w:bCs/>
          <w:sz w:val="24"/>
          <w:szCs w:val="24"/>
        </w:rPr>
      </w:pPr>
      <w:r w:rsidRPr="004700FB">
        <w:rPr>
          <w:rFonts w:ascii="Arial" w:eastAsia="Arial" w:hAnsi="Arial" w:cs="Arial"/>
          <w:b/>
          <w:bCs/>
          <w:sz w:val="24"/>
          <w:szCs w:val="24"/>
        </w:rPr>
        <w:t>AGREED</w:t>
      </w:r>
      <w:r w:rsidRPr="004700FB">
        <w:rPr>
          <w:rFonts w:ascii="Arial" w:eastAsia="Arial" w:hAnsi="Arial" w:cs="Arial"/>
          <w:bCs/>
          <w:sz w:val="24"/>
          <w:szCs w:val="24"/>
        </w:rPr>
        <w:t xml:space="preserve"> that the timeline for the signing of the Second Protocol to Amend AANZTA Agreement will be discussed after the announcement of substantial conclusion of the upgrade negotiation.</w:t>
      </w:r>
    </w:p>
    <w:p w14:paraId="45080831" w14:textId="602F275A" w:rsidR="004700FB" w:rsidRPr="004700FB" w:rsidRDefault="004700FB" w:rsidP="004700FB">
      <w:pPr>
        <w:pStyle w:val="ListParagraph"/>
        <w:spacing w:after="0" w:line="240" w:lineRule="auto"/>
        <w:ind w:left="357"/>
        <w:jc w:val="both"/>
        <w:rPr>
          <w:rFonts w:ascii="Arial" w:eastAsia="Arial" w:hAnsi="Arial" w:cs="Arial"/>
          <w:bCs/>
          <w:sz w:val="24"/>
          <w:szCs w:val="24"/>
        </w:rPr>
      </w:pPr>
    </w:p>
    <w:p w14:paraId="190F5B08" w14:textId="77777777" w:rsidR="0056634C" w:rsidRDefault="0056634C" w:rsidP="004700FB">
      <w:pPr>
        <w:pStyle w:val="Title"/>
        <w:tabs>
          <w:tab w:val="left" w:pos="0"/>
        </w:tabs>
        <w:spacing w:line="23" w:lineRule="atLeast"/>
        <w:contextualSpacing/>
        <w:jc w:val="both"/>
        <w:rPr>
          <w:rFonts w:cs="Arial"/>
          <w:color w:val="000000" w:themeColor="text1"/>
          <w:sz w:val="24"/>
          <w:szCs w:val="24"/>
        </w:rPr>
      </w:pPr>
    </w:p>
    <w:p w14:paraId="1070F24F" w14:textId="7F99A937" w:rsidR="004700FB" w:rsidRDefault="004700FB" w:rsidP="004700FB">
      <w:pPr>
        <w:pStyle w:val="Title"/>
        <w:numPr>
          <w:ilvl w:val="0"/>
          <w:numId w:val="4"/>
        </w:numPr>
        <w:tabs>
          <w:tab w:val="left" w:pos="0"/>
        </w:tabs>
        <w:spacing w:line="23" w:lineRule="atLeast"/>
        <w:ind w:left="360"/>
        <w:contextualSpacing/>
        <w:jc w:val="both"/>
        <w:rPr>
          <w:rFonts w:cs="Arial"/>
          <w:bCs w:val="0"/>
          <w:color w:val="000000" w:themeColor="text1"/>
          <w:sz w:val="24"/>
          <w:szCs w:val="24"/>
        </w:rPr>
      </w:pPr>
      <w:r>
        <w:rPr>
          <w:rFonts w:cs="Arial"/>
          <w:bCs w:val="0"/>
          <w:color w:val="000000" w:themeColor="text1"/>
          <w:sz w:val="24"/>
          <w:szCs w:val="24"/>
        </w:rPr>
        <w:t xml:space="preserve">PREPARATIONS FOR THE ANNOUNCEMENT </w:t>
      </w:r>
      <w:r w:rsidRPr="004700FB">
        <w:rPr>
          <w:rFonts w:cs="Arial"/>
          <w:bCs w:val="0"/>
          <w:color w:val="000000" w:themeColor="text1"/>
          <w:sz w:val="24"/>
          <w:szCs w:val="24"/>
        </w:rPr>
        <w:t>OF THE SUBSTANTIAL CONCLUSION OF THE AANZFTA UPGRADE NEGOTIATIONS</w:t>
      </w:r>
    </w:p>
    <w:p w14:paraId="439D9BDB" w14:textId="77777777" w:rsidR="004700FB" w:rsidRPr="00E66BA7" w:rsidRDefault="004700FB" w:rsidP="004700FB">
      <w:pPr>
        <w:pStyle w:val="Title"/>
        <w:tabs>
          <w:tab w:val="left" w:pos="0"/>
        </w:tabs>
        <w:spacing w:line="23" w:lineRule="atLeast"/>
        <w:contextualSpacing/>
        <w:jc w:val="both"/>
        <w:rPr>
          <w:rFonts w:cs="Arial"/>
          <w:color w:val="000000" w:themeColor="text1"/>
          <w:sz w:val="24"/>
          <w:szCs w:val="24"/>
        </w:rPr>
      </w:pPr>
    </w:p>
    <w:p w14:paraId="1CBC1CA7" w14:textId="77777777" w:rsidR="004700FB" w:rsidRDefault="004700FB" w:rsidP="004700FB">
      <w:pPr>
        <w:pStyle w:val="Title"/>
        <w:tabs>
          <w:tab w:val="left" w:pos="0"/>
        </w:tabs>
        <w:spacing w:line="23" w:lineRule="atLeast"/>
        <w:ind w:left="360"/>
        <w:contextualSpacing/>
        <w:jc w:val="both"/>
        <w:rPr>
          <w:rFonts w:eastAsiaTheme="minorHAnsi" w:cs="Arial"/>
          <w:b w:val="0"/>
          <w:bCs w:val="0"/>
          <w:iCs/>
          <w:color w:val="000000" w:themeColor="text1"/>
          <w:kern w:val="0"/>
          <w:sz w:val="24"/>
          <w:lang w:val="en-AU"/>
        </w:rPr>
      </w:pPr>
      <w:r w:rsidRPr="004700FB">
        <w:rPr>
          <w:rFonts w:eastAsiaTheme="minorHAnsi" w:cs="Arial"/>
          <w:b w:val="0"/>
          <w:bCs w:val="0"/>
          <w:iCs/>
          <w:color w:val="000000" w:themeColor="text1"/>
          <w:kern w:val="0"/>
          <w:sz w:val="24"/>
          <w:lang w:val="en-AU"/>
        </w:rPr>
        <w:t xml:space="preserve">ASEAN Secretariat </w:t>
      </w:r>
      <w:r w:rsidRPr="004700FB">
        <w:rPr>
          <w:rFonts w:eastAsiaTheme="minorHAnsi" w:cs="Arial"/>
          <w:bCs w:val="0"/>
          <w:iCs/>
          <w:color w:val="000000" w:themeColor="text1"/>
          <w:kern w:val="0"/>
          <w:sz w:val="24"/>
          <w:lang w:val="en-AU"/>
        </w:rPr>
        <w:t>BRIEFED</w:t>
      </w:r>
      <w:r w:rsidRPr="004700FB">
        <w:rPr>
          <w:rFonts w:eastAsiaTheme="minorHAnsi" w:cs="Arial"/>
          <w:b w:val="0"/>
          <w:bCs w:val="0"/>
          <w:iCs/>
          <w:color w:val="000000" w:themeColor="text1"/>
          <w:kern w:val="0"/>
          <w:sz w:val="24"/>
          <w:lang w:val="en-AU"/>
        </w:rPr>
        <w:t xml:space="preserve"> the meeting on the preparations for the announcement of the substantial conclusion of the AANZFTA upgrade negotiations.</w:t>
      </w:r>
    </w:p>
    <w:p w14:paraId="65596FC4" w14:textId="77777777" w:rsidR="004700FB" w:rsidRDefault="004700FB" w:rsidP="004700FB">
      <w:pPr>
        <w:pStyle w:val="Title"/>
        <w:tabs>
          <w:tab w:val="left" w:pos="0"/>
        </w:tabs>
        <w:spacing w:line="23" w:lineRule="atLeast"/>
        <w:ind w:left="360"/>
        <w:contextualSpacing/>
        <w:jc w:val="both"/>
        <w:rPr>
          <w:rFonts w:cs="Arial"/>
          <w:sz w:val="24"/>
          <w:szCs w:val="24"/>
        </w:rPr>
      </w:pPr>
    </w:p>
    <w:p w14:paraId="2EDB0D6A" w14:textId="5F76696C" w:rsidR="00515D58" w:rsidRDefault="004700FB" w:rsidP="004700FB">
      <w:pPr>
        <w:pStyle w:val="Title"/>
        <w:tabs>
          <w:tab w:val="left" w:pos="0"/>
        </w:tabs>
        <w:spacing w:line="23" w:lineRule="atLeast"/>
        <w:ind w:left="360"/>
        <w:contextualSpacing/>
        <w:jc w:val="both"/>
        <w:rPr>
          <w:rFonts w:cs="Arial"/>
          <w:b w:val="0"/>
          <w:sz w:val="24"/>
          <w:szCs w:val="24"/>
        </w:rPr>
      </w:pPr>
      <w:r w:rsidRPr="004700FB">
        <w:rPr>
          <w:rFonts w:cs="Arial"/>
          <w:sz w:val="24"/>
          <w:szCs w:val="24"/>
        </w:rPr>
        <w:t>NOTED</w:t>
      </w:r>
      <w:r w:rsidRPr="004700FB">
        <w:rPr>
          <w:rFonts w:cs="Arial"/>
          <w:b w:val="0"/>
          <w:sz w:val="24"/>
          <w:szCs w:val="24"/>
        </w:rPr>
        <w:t xml:space="preserve"> that Cambodia as ASEAN Chair, Brunei Darussalam as Country Coordinator for CER, Australia and New Zealand, will provide remarks at the announcement</w:t>
      </w:r>
      <w:r w:rsidR="00910097">
        <w:rPr>
          <w:rFonts w:cs="Arial"/>
          <w:b w:val="0"/>
          <w:sz w:val="24"/>
          <w:szCs w:val="24"/>
        </w:rPr>
        <w:t>.</w:t>
      </w:r>
    </w:p>
    <w:p w14:paraId="5CB730C5" w14:textId="7AD6DBEA" w:rsidR="00910097" w:rsidRPr="00910097" w:rsidRDefault="00910097" w:rsidP="004700FB">
      <w:pPr>
        <w:pStyle w:val="Title"/>
        <w:tabs>
          <w:tab w:val="left" w:pos="0"/>
        </w:tabs>
        <w:spacing w:line="23" w:lineRule="atLeast"/>
        <w:ind w:left="360"/>
        <w:contextualSpacing/>
        <w:jc w:val="both"/>
        <w:rPr>
          <w:rFonts w:eastAsiaTheme="minorHAnsi" w:cs="Arial"/>
          <w:b w:val="0"/>
          <w:bCs w:val="0"/>
          <w:iCs/>
          <w:color w:val="000000" w:themeColor="text1"/>
          <w:kern w:val="0"/>
          <w:sz w:val="28"/>
          <w:lang w:val="en-AU"/>
        </w:rPr>
      </w:pPr>
    </w:p>
    <w:p w14:paraId="1FBFA4DC" w14:textId="77F07511" w:rsidR="00910097" w:rsidRPr="00910097" w:rsidRDefault="00910097" w:rsidP="004700FB">
      <w:pPr>
        <w:pStyle w:val="Title"/>
        <w:tabs>
          <w:tab w:val="left" w:pos="0"/>
        </w:tabs>
        <w:spacing w:line="23" w:lineRule="atLeast"/>
        <w:ind w:left="360"/>
        <w:contextualSpacing/>
        <w:jc w:val="both"/>
        <w:rPr>
          <w:rFonts w:eastAsiaTheme="minorHAnsi" w:cs="Arial"/>
          <w:b w:val="0"/>
          <w:bCs w:val="0"/>
          <w:iCs/>
          <w:color w:val="000000" w:themeColor="text1"/>
          <w:kern w:val="0"/>
          <w:sz w:val="28"/>
          <w:lang w:val="en-AU"/>
        </w:rPr>
      </w:pPr>
      <w:r w:rsidRPr="00910097">
        <w:rPr>
          <w:rFonts w:eastAsiaTheme="minorHAnsi" w:cs="Arial"/>
          <w:bCs w:val="0"/>
          <w:iCs/>
          <w:color w:val="000000" w:themeColor="text1"/>
          <w:kern w:val="0"/>
          <w:sz w:val="24"/>
          <w:lang w:val="en-AU"/>
        </w:rPr>
        <w:t>TASKED</w:t>
      </w:r>
      <w:r w:rsidRPr="00910097">
        <w:rPr>
          <w:rFonts w:eastAsiaTheme="minorHAnsi" w:cs="Arial"/>
          <w:b w:val="0"/>
          <w:bCs w:val="0"/>
          <w:iCs/>
          <w:color w:val="000000" w:themeColor="text1"/>
          <w:kern w:val="0"/>
          <w:sz w:val="24"/>
          <w:lang w:val="en-AU"/>
        </w:rPr>
        <w:t xml:space="preserve"> ASEAN Secretariat to prepare the general media guidelines prior to the preparatory FJC Meeting on 9 November 2022.</w:t>
      </w:r>
    </w:p>
    <w:p w14:paraId="2BAA7AE8" w14:textId="77777777" w:rsidR="00C42EC3" w:rsidRPr="00515D58" w:rsidRDefault="00C42EC3" w:rsidP="00E66BA7">
      <w:pPr>
        <w:pStyle w:val="Title"/>
        <w:tabs>
          <w:tab w:val="left" w:pos="0"/>
        </w:tabs>
        <w:spacing w:line="23" w:lineRule="atLeast"/>
        <w:contextualSpacing/>
        <w:jc w:val="both"/>
        <w:rPr>
          <w:rFonts w:cs="Arial"/>
          <w:b w:val="0"/>
          <w:bCs w:val="0"/>
          <w:color w:val="000000" w:themeColor="text1"/>
          <w:sz w:val="24"/>
          <w:szCs w:val="24"/>
        </w:rPr>
      </w:pPr>
    </w:p>
    <w:p w14:paraId="12BD0912" w14:textId="2594695F" w:rsidR="00136E33" w:rsidRPr="00515D58" w:rsidRDefault="00136E33" w:rsidP="00136E33">
      <w:pPr>
        <w:pStyle w:val="ListParagraph"/>
        <w:spacing w:after="0" w:line="23" w:lineRule="atLeast"/>
        <w:ind w:left="0"/>
        <w:jc w:val="center"/>
        <w:rPr>
          <w:rFonts w:ascii="Arial" w:hAnsi="Arial" w:cs="Arial"/>
          <w:iCs/>
          <w:color w:val="000000" w:themeColor="text1"/>
          <w:sz w:val="24"/>
          <w:szCs w:val="24"/>
        </w:rPr>
      </w:pPr>
      <w:r w:rsidRPr="00515D58">
        <w:rPr>
          <w:rFonts w:ascii="Arial" w:hAnsi="Arial" w:cs="Arial"/>
          <w:iCs/>
          <w:color w:val="000000" w:themeColor="text1"/>
          <w:sz w:val="24"/>
          <w:szCs w:val="24"/>
        </w:rPr>
        <w:t>--- *** ---</w:t>
      </w:r>
    </w:p>
    <w:p w14:paraId="65C9C7AD" w14:textId="77777777" w:rsidR="00136E33" w:rsidRPr="00515D58" w:rsidRDefault="00136E33" w:rsidP="00136E33">
      <w:pPr>
        <w:pStyle w:val="Title"/>
        <w:tabs>
          <w:tab w:val="left" w:pos="0"/>
        </w:tabs>
        <w:spacing w:line="23" w:lineRule="atLeast"/>
        <w:ind w:left="720"/>
        <w:contextualSpacing/>
        <w:jc w:val="both"/>
        <w:rPr>
          <w:rFonts w:cs="Arial"/>
          <w:b w:val="0"/>
          <w:bCs w:val="0"/>
          <w:color w:val="000000" w:themeColor="text1"/>
          <w:sz w:val="24"/>
          <w:szCs w:val="24"/>
        </w:rPr>
      </w:pPr>
    </w:p>
    <w:p w14:paraId="09CED207" w14:textId="5E5C0034" w:rsidR="003F5468" w:rsidRPr="00515D58" w:rsidRDefault="003F5468" w:rsidP="00EE23B1">
      <w:pPr>
        <w:pStyle w:val="Title"/>
        <w:tabs>
          <w:tab w:val="left" w:pos="0"/>
        </w:tabs>
        <w:spacing w:line="23" w:lineRule="atLeast"/>
        <w:ind w:left="720"/>
        <w:contextualSpacing/>
        <w:jc w:val="both"/>
        <w:rPr>
          <w:rFonts w:cs="Arial"/>
          <w:bCs w:val="0"/>
          <w:color w:val="000000" w:themeColor="text1"/>
          <w:sz w:val="24"/>
          <w:szCs w:val="24"/>
        </w:rPr>
      </w:pPr>
    </w:p>
    <w:p w14:paraId="45CF8669" w14:textId="77777777" w:rsidR="005432C3" w:rsidRPr="00515D58" w:rsidRDefault="005432C3">
      <w:pPr>
        <w:rPr>
          <w:sz w:val="24"/>
          <w:szCs w:val="24"/>
        </w:rPr>
      </w:pPr>
    </w:p>
    <w:sectPr w:rsidR="005432C3" w:rsidRPr="00515D5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61E0" w14:textId="77777777" w:rsidR="00A91088" w:rsidRDefault="00A91088" w:rsidP="00F9028B">
      <w:r>
        <w:separator/>
      </w:r>
    </w:p>
  </w:endnote>
  <w:endnote w:type="continuationSeparator" w:id="0">
    <w:p w14:paraId="6B5D2B4F" w14:textId="77777777" w:rsidR="00A91088" w:rsidRDefault="00A91088" w:rsidP="00F9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DC7" w14:textId="77777777" w:rsidR="00F9028B" w:rsidRPr="004102F2" w:rsidRDefault="00F9028B">
    <w:pPr>
      <w:tabs>
        <w:tab w:val="center" w:pos="4550"/>
        <w:tab w:val="left" w:pos="5818"/>
      </w:tabs>
      <w:ind w:right="260"/>
      <w:jc w:val="right"/>
      <w:rPr>
        <w:color w:val="222A35" w:themeColor="text2" w:themeShade="80"/>
        <w:sz w:val="20"/>
        <w:szCs w:val="20"/>
      </w:rPr>
    </w:pPr>
    <w:r w:rsidRPr="004102F2">
      <w:rPr>
        <w:color w:val="000000" w:themeColor="text1"/>
        <w:spacing w:val="60"/>
        <w:sz w:val="20"/>
        <w:szCs w:val="20"/>
      </w:rPr>
      <w:t>Page</w:t>
    </w:r>
    <w:r w:rsidRPr="004102F2">
      <w:rPr>
        <w:color w:val="000000" w:themeColor="text1"/>
        <w:sz w:val="20"/>
        <w:szCs w:val="20"/>
      </w:rPr>
      <w:t xml:space="preserve"> </w:t>
    </w:r>
    <w:r w:rsidRPr="004102F2">
      <w:rPr>
        <w:color w:val="323E4F" w:themeColor="text2" w:themeShade="BF"/>
        <w:sz w:val="20"/>
        <w:szCs w:val="20"/>
      </w:rPr>
      <w:fldChar w:fldCharType="begin"/>
    </w:r>
    <w:r w:rsidRPr="004102F2">
      <w:rPr>
        <w:color w:val="323E4F" w:themeColor="text2" w:themeShade="BF"/>
        <w:sz w:val="20"/>
        <w:szCs w:val="20"/>
      </w:rPr>
      <w:instrText xml:space="preserve"> PAGE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r w:rsidRPr="004102F2">
      <w:rPr>
        <w:color w:val="323E4F" w:themeColor="text2" w:themeShade="BF"/>
        <w:sz w:val="20"/>
        <w:szCs w:val="20"/>
      </w:rPr>
      <w:t xml:space="preserve"> | </w:t>
    </w:r>
    <w:r w:rsidRPr="004102F2">
      <w:rPr>
        <w:color w:val="323E4F" w:themeColor="text2" w:themeShade="BF"/>
        <w:sz w:val="20"/>
        <w:szCs w:val="20"/>
      </w:rPr>
      <w:fldChar w:fldCharType="begin"/>
    </w:r>
    <w:r w:rsidRPr="004102F2">
      <w:rPr>
        <w:color w:val="323E4F" w:themeColor="text2" w:themeShade="BF"/>
        <w:sz w:val="20"/>
        <w:szCs w:val="20"/>
      </w:rPr>
      <w:instrText xml:space="preserve"> NUMPAGES  \* Arabic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p>
  <w:p w14:paraId="56BC02CC" w14:textId="77777777" w:rsidR="00F9028B" w:rsidRDefault="00F9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9C07" w14:textId="77777777" w:rsidR="00A91088" w:rsidRDefault="00A91088" w:rsidP="00F9028B">
      <w:r>
        <w:separator/>
      </w:r>
    </w:p>
  </w:footnote>
  <w:footnote w:type="continuationSeparator" w:id="0">
    <w:p w14:paraId="3DBC3A76" w14:textId="77777777" w:rsidR="00A91088" w:rsidRDefault="00A91088" w:rsidP="00F9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0153" w14:textId="77777777" w:rsidR="0065296F" w:rsidRDefault="0065296F" w:rsidP="0065296F">
    <w:pPr>
      <w:pStyle w:val="Header"/>
      <w:jc w:val="right"/>
      <w:rPr>
        <w:i/>
        <w:iCs/>
      </w:rPr>
    </w:pPr>
    <w:r>
      <w:rPr>
        <w:i/>
        <w:iCs/>
      </w:rPr>
      <w:t>PUBLIC</w:t>
    </w:r>
  </w:p>
  <w:p w14:paraId="3AA67187" w14:textId="706FCAC6" w:rsidR="00DF553B" w:rsidRPr="0065296F" w:rsidRDefault="00DF553B" w:rsidP="0065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7A3"/>
    <w:multiLevelType w:val="hybridMultilevel"/>
    <w:tmpl w:val="30CC5B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58544F"/>
    <w:multiLevelType w:val="hybridMultilevel"/>
    <w:tmpl w:val="312A73D8"/>
    <w:lvl w:ilvl="0" w:tplc="D7DEE8F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56A2"/>
    <w:multiLevelType w:val="hybridMultilevel"/>
    <w:tmpl w:val="4BC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34850"/>
    <w:multiLevelType w:val="hybridMultilevel"/>
    <w:tmpl w:val="3F701326"/>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53F2"/>
    <w:multiLevelType w:val="hybridMultilevel"/>
    <w:tmpl w:val="C960094A"/>
    <w:lvl w:ilvl="0" w:tplc="9C643D7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C6EE6"/>
    <w:multiLevelType w:val="hybridMultilevel"/>
    <w:tmpl w:val="C3E025BE"/>
    <w:lvl w:ilvl="0" w:tplc="4A504162">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C7CB1"/>
    <w:multiLevelType w:val="hybridMultilevel"/>
    <w:tmpl w:val="0F2A190C"/>
    <w:lvl w:ilvl="0" w:tplc="A18879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B00A8C"/>
    <w:multiLevelType w:val="hybridMultilevel"/>
    <w:tmpl w:val="49E6827E"/>
    <w:lvl w:ilvl="0" w:tplc="484022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2650C83"/>
    <w:multiLevelType w:val="hybridMultilevel"/>
    <w:tmpl w:val="96EC4460"/>
    <w:lvl w:ilvl="0" w:tplc="A1409752">
      <w:start w:val="5"/>
      <w:numFmt w:val="decimal"/>
      <w:lvlText w:val="%1."/>
      <w:lvlJc w:val="left"/>
      <w:pPr>
        <w:ind w:left="72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01E82"/>
    <w:multiLevelType w:val="hybridMultilevel"/>
    <w:tmpl w:val="0B9E0B42"/>
    <w:lvl w:ilvl="0" w:tplc="A3544B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DF59ED"/>
    <w:multiLevelType w:val="multilevel"/>
    <w:tmpl w:val="4C0829B6"/>
    <w:lvl w:ilvl="0">
      <w:start w:val="16"/>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C317029"/>
    <w:multiLevelType w:val="hybridMultilevel"/>
    <w:tmpl w:val="DC9CD8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830801"/>
    <w:multiLevelType w:val="hybridMultilevel"/>
    <w:tmpl w:val="8B40BE94"/>
    <w:lvl w:ilvl="0" w:tplc="2180819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7E13D3D"/>
    <w:multiLevelType w:val="multilevel"/>
    <w:tmpl w:val="F75C0C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35671467">
    <w:abstractNumId w:val="3"/>
  </w:num>
  <w:num w:numId="2" w16cid:durableId="2103448126">
    <w:abstractNumId w:val="11"/>
  </w:num>
  <w:num w:numId="3" w16cid:durableId="991085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816737">
    <w:abstractNumId w:val="0"/>
  </w:num>
  <w:num w:numId="5" w16cid:durableId="684862528">
    <w:abstractNumId w:val="8"/>
  </w:num>
  <w:num w:numId="6" w16cid:durableId="2141343796">
    <w:abstractNumId w:val="12"/>
  </w:num>
  <w:num w:numId="7" w16cid:durableId="1555122417">
    <w:abstractNumId w:val="4"/>
  </w:num>
  <w:num w:numId="8" w16cid:durableId="1647859611">
    <w:abstractNumId w:val="10"/>
  </w:num>
  <w:num w:numId="9" w16cid:durableId="1157264992">
    <w:abstractNumId w:val="13"/>
  </w:num>
  <w:num w:numId="10" w16cid:durableId="175312969">
    <w:abstractNumId w:val="6"/>
  </w:num>
  <w:num w:numId="11" w16cid:durableId="961115962">
    <w:abstractNumId w:val="9"/>
  </w:num>
  <w:num w:numId="12" w16cid:durableId="398788561">
    <w:abstractNumId w:val="1"/>
  </w:num>
  <w:num w:numId="13" w16cid:durableId="1591309532">
    <w:abstractNumId w:val="2"/>
  </w:num>
  <w:num w:numId="14" w16cid:durableId="215286129">
    <w:abstractNumId w:val="5"/>
  </w:num>
  <w:num w:numId="15" w16cid:durableId="740249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3B"/>
    <w:rsid w:val="000020BD"/>
    <w:rsid w:val="00014FE5"/>
    <w:rsid w:val="00026132"/>
    <w:rsid w:val="00052FA1"/>
    <w:rsid w:val="00066088"/>
    <w:rsid w:val="00066290"/>
    <w:rsid w:val="00081181"/>
    <w:rsid w:val="00084F2F"/>
    <w:rsid w:val="000940E2"/>
    <w:rsid w:val="000A4B4A"/>
    <w:rsid w:val="000B6921"/>
    <w:rsid w:val="000C04E5"/>
    <w:rsid w:val="000D7DC7"/>
    <w:rsid w:val="000E62B7"/>
    <w:rsid w:val="000F117A"/>
    <w:rsid w:val="001350D6"/>
    <w:rsid w:val="00135D3C"/>
    <w:rsid w:val="00136E33"/>
    <w:rsid w:val="00140F29"/>
    <w:rsid w:val="00184576"/>
    <w:rsid w:val="00194827"/>
    <w:rsid w:val="001B7365"/>
    <w:rsid w:val="001D4057"/>
    <w:rsid w:val="001D5170"/>
    <w:rsid w:val="001E094F"/>
    <w:rsid w:val="001F2877"/>
    <w:rsid w:val="001F3221"/>
    <w:rsid w:val="0021550F"/>
    <w:rsid w:val="00230975"/>
    <w:rsid w:val="00246EEC"/>
    <w:rsid w:val="0025756F"/>
    <w:rsid w:val="00264CDE"/>
    <w:rsid w:val="002874EB"/>
    <w:rsid w:val="002A7453"/>
    <w:rsid w:val="002C6978"/>
    <w:rsid w:val="002F3F97"/>
    <w:rsid w:val="0032275C"/>
    <w:rsid w:val="00323C3B"/>
    <w:rsid w:val="00324A41"/>
    <w:rsid w:val="0034662E"/>
    <w:rsid w:val="00347FE0"/>
    <w:rsid w:val="003827EC"/>
    <w:rsid w:val="003A0A6B"/>
    <w:rsid w:val="003A14AC"/>
    <w:rsid w:val="003B47F6"/>
    <w:rsid w:val="003C0EC6"/>
    <w:rsid w:val="003E3A7A"/>
    <w:rsid w:val="003F5468"/>
    <w:rsid w:val="00404CAA"/>
    <w:rsid w:val="004102F2"/>
    <w:rsid w:val="004176C7"/>
    <w:rsid w:val="004411D6"/>
    <w:rsid w:val="004444D5"/>
    <w:rsid w:val="00456F72"/>
    <w:rsid w:val="004700FB"/>
    <w:rsid w:val="00475576"/>
    <w:rsid w:val="00482E1B"/>
    <w:rsid w:val="00490E94"/>
    <w:rsid w:val="004F0CDC"/>
    <w:rsid w:val="004F1EF8"/>
    <w:rsid w:val="00513007"/>
    <w:rsid w:val="00515D58"/>
    <w:rsid w:val="00543101"/>
    <w:rsid w:val="005432C3"/>
    <w:rsid w:val="00545FE6"/>
    <w:rsid w:val="0055607E"/>
    <w:rsid w:val="0056634C"/>
    <w:rsid w:val="0057243E"/>
    <w:rsid w:val="005A0B62"/>
    <w:rsid w:val="005B1880"/>
    <w:rsid w:val="005C106D"/>
    <w:rsid w:val="005D0B00"/>
    <w:rsid w:val="005D7A39"/>
    <w:rsid w:val="005E26E2"/>
    <w:rsid w:val="005E29FE"/>
    <w:rsid w:val="005E3AAA"/>
    <w:rsid w:val="005F093B"/>
    <w:rsid w:val="005F61DE"/>
    <w:rsid w:val="006048C1"/>
    <w:rsid w:val="00635B9A"/>
    <w:rsid w:val="00651E5E"/>
    <w:rsid w:val="0065296F"/>
    <w:rsid w:val="00653298"/>
    <w:rsid w:val="0065591D"/>
    <w:rsid w:val="006720C8"/>
    <w:rsid w:val="006A2D40"/>
    <w:rsid w:val="006B54A8"/>
    <w:rsid w:val="006C22C1"/>
    <w:rsid w:val="006F5EB3"/>
    <w:rsid w:val="007553D3"/>
    <w:rsid w:val="00762009"/>
    <w:rsid w:val="007857F1"/>
    <w:rsid w:val="00797E80"/>
    <w:rsid w:val="007A1085"/>
    <w:rsid w:val="007B5797"/>
    <w:rsid w:val="007B695F"/>
    <w:rsid w:val="007D0AE3"/>
    <w:rsid w:val="007D5160"/>
    <w:rsid w:val="007F79F3"/>
    <w:rsid w:val="007F7C57"/>
    <w:rsid w:val="00850F30"/>
    <w:rsid w:val="008812F2"/>
    <w:rsid w:val="0089717C"/>
    <w:rsid w:val="008A3469"/>
    <w:rsid w:val="008A4D5D"/>
    <w:rsid w:val="008B4B3B"/>
    <w:rsid w:val="008B7F36"/>
    <w:rsid w:val="008F07BA"/>
    <w:rsid w:val="008F188E"/>
    <w:rsid w:val="008F43EC"/>
    <w:rsid w:val="00907117"/>
    <w:rsid w:val="00910097"/>
    <w:rsid w:val="009173A4"/>
    <w:rsid w:val="00931FFD"/>
    <w:rsid w:val="00967A6F"/>
    <w:rsid w:val="00970090"/>
    <w:rsid w:val="009952AD"/>
    <w:rsid w:val="009D1637"/>
    <w:rsid w:val="009D2D1B"/>
    <w:rsid w:val="009F6CF2"/>
    <w:rsid w:val="00A209F7"/>
    <w:rsid w:val="00A378BF"/>
    <w:rsid w:val="00A5099A"/>
    <w:rsid w:val="00A82AA7"/>
    <w:rsid w:val="00A91088"/>
    <w:rsid w:val="00A94309"/>
    <w:rsid w:val="00AE4894"/>
    <w:rsid w:val="00B07E95"/>
    <w:rsid w:val="00B220E5"/>
    <w:rsid w:val="00B40CB7"/>
    <w:rsid w:val="00B46422"/>
    <w:rsid w:val="00B556ED"/>
    <w:rsid w:val="00BA26DD"/>
    <w:rsid w:val="00BB2787"/>
    <w:rsid w:val="00BB7FB2"/>
    <w:rsid w:val="00BC7662"/>
    <w:rsid w:val="00BD0411"/>
    <w:rsid w:val="00BD15E7"/>
    <w:rsid w:val="00BD633B"/>
    <w:rsid w:val="00BE603A"/>
    <w:rsid w:val="00C10708"/>
    <w:rsid w:val="00C1667E"/>
    <w:rsid w:val="00C42EC3"/>
    <w:rsid w:val="00C54A6D"/>
    <w:rsid w:val="00C65B51"/>
    <w:rsid w:val="00C80FA0"/>
    <w:rsid w:val="00C90B48"/>
    <w:rsid w:val="00CB3B9B"/>
    <w:rsid w:val="00CC520D"/>
    <w:rsid w:val="00CD7241"/>
    <w:rsid w:val="00CE4AA2"/>
    <w:rsid w:val="00CE4B8F"/>
    <w:rsid w:val="00CF19AB"/>
    <w:rsid w:val="00D17CDF"/>
    <w:rsid w:val="00D32819"/>
    <w:rsid w:val="00D364E1"/>
    <w:rsid w:val="00D701BD"/>
    <w:rsid w:val="00DA2174"/>
    <w:rsid w:val="00DE2DB5"/>
    <w:rsid w:val="00DF553B"/>
    <w:rsid w:val="00E408A8"/>
    <w:rsid w:val="00E66BA7"/>
    <w:rsid w:val="00E81F59"/>
    <w:rsid w:val="00E83174"/>
    <w:rsid w:val="00E833F7"/>
    <w:rsid w:val="00E92463"/>
    <w:rsid w:val="00EC71F8"/>
    <w:rsid w:val="00EE1BAC"/>
    <w:rsid w:val="00EE23B1"/>
    <w:rsid w:val="00F070C7"/>
    <w:rsid w:val="00F13963"/>
    <w:rsid w:val="00F14465"/>
    <w:rsid w:val="00F60B2F"/>
    <w:rsid w:val="00F9028B"/>
    <w:rsid w:val="00FA091A"/>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CFBBF"/>
  <w15:chartTrackingRefBased/>
  <w15:docId w15:val="{1266BAFB-B410-489A-A899-1E8FEA0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C3"/>
    <w:pPr>
      <w:spacing w:after="0" w:line="240" w:lineRule="auto"/>
      <w:jc w:val="both"/>
    </w:pPr>
    <w:rPr>
      <w:rFonts w:ascii="Arial" w:eastAsia="Times New Roman" w:hAnsi="Arial" w:cs="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MFAT"/>
    <w:basedOn w:val="Normal"/>
    <w:link w:val="TitleChar"/>
    <w:uiPriority w:val="10"/>
    <w:qFormat/>
    <w:rsid w:val="005432C3"/>
    <w:pPr>
      <w:jc w:val="center"/>
      <w:outlineLvl w:val="0"/>
    </w:pPr>
    <w:rPr>
      <w:rFonts w:cs="Times New Roman"/>
      <w:b/>
      <w:bCs/>
      <w:kern w:val="28"/>
    </w:rPr>
  </w:style>
  <w:style w:type="character" w:customStyle="1" w:styleId="TitleChar">
    <w:name w:val="Title Char"/>
    <w:aliases w:val="Title MFAT Char"/>
    <w:basedOn w:val="DefaultParagraphFont"/>
    <w:link w:val="Title"/>
    <w:uiPriority w:val="10"/>
    <w:rsid w:val="005432C3"/>
    <w:rPr>
      <w:rFonts w:ascii="Arial" w:eastAsia="Times New Roman" w:hAnsi="Arial" w:cs="Times New Roman"/>
      <w:b/>
      <w:bCs/>
      <w:kern w:val="28"/>
      <w:lang w:val="en-GB"/>
    </w:rPr>
  </w:style>
  <w:style w:type="table" w:styleId="TableGrid">
    <w:name w:val="Table Grid"/>
    <w:basedOn w:val="TableNormal"/>
    <w:uiPriority w:val="59"/>
    <w:rsid w:val="005432C3"/>
    <w:pPr>
      <w:spacing w:after="0" w:line="240" w:lineRule="auto"/>
    </w:pPr>
    <w:rPr>
      <w:rFonts w:ascii="Arial" w:eastAsia="Calibri" w:hAnsi="Arial"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Bullet 1,MAIN CONTENT,List Paragraph12,List Paragraph2,Normal numbered,OBC Bullet,Recommendation,List Paragraph11,L"/>
    <w:basedOn w:val="Normal"/>
    <w:link w:val="ListParagraphChar"/>
    <w:uiPriority w:val="34"/>
    <w:qFormat/>
    <w:rsid w:val="005432C3"/>
    <w:pPr>
      <w:spacing w:after="160" w:line="256" w:lineRule="auto"/>
      <w:ind w:left="720"/>
      <w:contextualSpacing/>
      <w:jc w:val="left"/>
    </w:pPr>
    <w:rPr>
      <w:rFonts w:asciiTheme="minorHAnsi" w:eastAsiaTheme="minorHAnsi" w:hAnsiTheme="minorHAnsi" w:cstheme="minorBidi"/>
      <w:lang w:val="en-AU"/>
    </w:rPr>
  </w:style>
  <w:style w:type="character" w:customStyle="1" w:styleId="ListParagraphChar">
    <w:name w:val="List Paragraph Char"/>
    <w:aliases w:val="Rec para Char,Dot pt Char,F5 List Paragraph Char,List Paragraph1 Char,No Spacing1 Char,List Paragraph Char Char Char Char,Indicator Text Char,Numbered Para 1 Char,Bullet 1 Char,MAIN CONTENT Char,List Paragraph12 Char,OBC Bullet Char"/>
    <w:basedOn w:val="DefaultParagraphFont"/>
    <w:link w:val="ListParagraph"/>
    <w:uiPriority w:val="34"/>
    <w:qFormat/>
    <w:rsid w:val="005432C3"/>
    <w:rPr>
      <w:lang w:val="en-AU"/>
    </w:rPr>
  </w:style>
  <w:style w:type="paragraph" w:styleId="Header">
    <w:name w:val="header"/>
    <w:basedOn w:val="Normal"/>
    <w:link w:val="HeaderChar"/>
    <w:uiPriority w:val="99"/>
    <w:unhideWhenUsed/>
    <w:rsid w:val="00F9028B"/>
    <w:pPr>
      <w:tabs>
        <w:tab w:val="center" w:pos="4513"/>
        <w:tab w:val="right" w:pos="9026"/>
      </w:tabs>
    </w:pPr>
  </w:style>
  <w:style w:type="character" w:customStyle="1" w:styleId="HeaderChar">
    <w:name w:val="Header Char"/>
    <w:basedOn w:val="DefaultParagraphFont"/>
    <w:link w:val="Header"/>
    <w:uiPriority w:val="99"/>
    <w:rsid w:val="00F9028B"/>
    <w:rPr>
      <w:rFonts w:ascii="Arial" w:eastAsia="Times New Roman" w:hAnsi="Arial" w:cs="Helvetica"/>
      <w:lang w:val="en-GB"/>
    </w:rPr>
  </w:style>
  <w:style w:type="paragraph" w:styleId="Footer">
    <w:name w:val="footer"/>
    <w:basedOn w:val="Normal"/>
    <w:link w:val="FooterChar"/>
    <w:uiPriority w:val="99"/>
    <w:unhideWhenUsed/>
    <w:rsid w:val="00F9028B"/>
    <w:pPr>
      <w:tabs>
        <w:tab w:val="center" w:pos="4513"/>
        <w:tab w:val="right" w:pos="9026"/>
      </w:tabs>
    </w:pPr>
  </w:style>
  <w:style w:type="character" w:customStyle="1" w:styleId="FooterChar">
    <w:name w:val="Footer Char"/>
    <w:basedOn w:val="DefaultParagraphFont"/>
    <w:link w:val="Footer"/>
    <w:uiPriority w:val="99"/>
    <w:rsid w:val="00F9028B"/>
    <w:rPr>
      <w:rFonts w:ascii="Arial" w:eastAsia="Times New Roman" w:hAnsi="Arial" w:cs="Helvetica"/>
      <w:lang w:val="en-GB"/>
    </w:rPr>
  </w:style>
  <w:style w:type="paragraph" w:styleId="BalloonText">
    <w:name w:val="Balloon Text"/>
    <w:basedOn w:val="Normal"/>
    <w:link w:val="BalloonTextChar"/>
    <w:uiPriority w:val="99"/>
    <w:semiHidden/>
    <w:unhideWhenUsed/>
    <w:rsid w:val="0023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7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176C7"/>
    <w:rPr>
      <w:sz w:val="16"/>
      <w:szCs w:val="16"/>
    </w:rPr>
  </w:style>
  <w:style w:type="paragraph" w:styleId="CommentText">
    <w:name w:val="annotation text"/>
    <w:basedOn w:val="Normal"/>
    <w:link w:val="CommentTextChar"/>
    <w:uiPriority w:val="99"/>
    <w:semiHidden/>
    <w:unhideWhenUsed/>
    <w:rsid w:val="004176C7"/>
    <w:rPr>
      <w:sz w:val="20"/>
      <w:szCs w:val="20"/>
    </w:rPr>
  </w:style>
  <w:style w:type="character" w:customStyle="1" w:styleId="CommentTextChar">
    <w:name w:val="Comment Text Char"/>
    <w:basedOn w:val="DefaultParagraphFont"/>
    <w:link w:val="CommentText"/>
    <w:uiPriority w:val="99"/>
    <w:semiHidden/>
    <w:rsid w:val="004176C7"/>
    <w:rPr>
      <w:rFonts w:ascii="Arial" w:eastAsia="Times New Roman" w:hAnsi="Arial" w:cs="Helvetica"/>
      <w:sz w:val="20"/>
      <w:szCs w:val="20"/>
      <w:lang w:val="en-GB"/>
    </w:rPr>
  </w:style>
  <w:style w:type="paragraph" w:styleId="CommentSubject">
    <w:name w:val="annotation subject"/>
    <w:basedOn w:val="CommentText"/>
    <w:next w:val="CommentText"/>
    <w:link w:val="CommentSubjectChar"/>
    <w:uiPriority w:val="99"/>
    <w:semiHidden/>
    <w:unhideWhenUsed/>
    <w:rsid w:val="004176C7"/>
    <w:rPr>
      <w:b/>
      <w:bCs/>
    </w:rPr>
  </w:style>
  <w:style w:type="character" w:customStyle="1" w:styleId="CommentSubjectChar">
    <w:name w:val="Comment Subject Char"/>
    <w:basedOn w:val="CommentTextChar"/>
    <w:link w:val="CommentSubject"/>
    <w:uiPriority w:val="99"/>
    <w:semiHidden/>
    <w:rsid w:val="004176C7"/>
    <w:rPr>
      <w:rFonts w:ascii="Arial" w:eastAsia="Times New Roman" w:hAnsi="Arial" w:cs="Helvetica"/>
      <w:b/>
      <w:bCs/>
      <w:sz w:val="20"/>
      <w:szCs w:val="20"/>
      <w:lang w:val="en-GB"/>
    </w:rPr>
  </w:style>
  <w:style w:type="paragraph" w:styleId="Revision">
    <w:name w:val="Revision"/>
    <w:hidden/>
    <w:uiPriority w:val="99"/>
    <w:semiHidden/>
    <w:rsid w:val="00543101"/>
    <w:pPr>
      <w:spacing w:after="0" w:line="240" w:lineRule="auto"/>
    </w:pPr>
    <w:rPr>
      <w:rFonts w:ascii="Arial" w:eastAsia="Times New Roman" w:hAnsi="Arial" w:cs="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8492">
      <w:bodyDiv w:val="1"/>
      <w:marLeft w:val="0"/>
      <w:marRight w:val="0"/>
      <w:marTop w:val="0"/>
      <w:marBottom w:val="0"/>
      <w:divBdr>
        <w:top w:val="none" w:sz="0" w:space="0" w:color="auto"/>
        <w:left w:val="none" w:sz="0" w:space="0" w:color="auto"/>
        <w:bottom w:val="none" w:sz="0" w:space="0" w:color="auto"/>
        <w:right w:val="none" w:sz="0" w:space="0" w:color="auto"/>
      </w:divBdr>
    </w:div>
    <w:div w:id="477527752">
      <w:bodyDiv w:val="1"/>
      <w:marLeft w:val="0"/>
      <w:marRight w:val="0"/>
      <w:marTop w:val="0"/>
      <w:marBottom w:val="0"/>
      <w:divBdr>
        <w:top w:val="none" w:sz="0" w:space="0" w:color="auto"/>
        <w:left w:val="none" w:sz="0" w:space="0" w:color="auto"/>
        <w:bottom w:val="none" w:sz="0" w:space="0" w:color="auto"/>
        <w:right w:val="none" w:sz="0" w:space="0" w:color="auto"/>
      </w:divBdr>
    </w:div>
    <w:div w:id="11979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F37713CE59D54AA2E2A917B51B6334" ma:contentTypeVersion="10" ma:contentTypeDescription="Create a new document." ma:contentTypeScope="" ma:versionID="d1ccd964a1aa24ac00e2a0e29bf8b6ac">
  <xsd:schema xmlns:xsd="http://www.w3.org/2001/XMLSchema" xmlns:xs="http://www.w3.org/2001/XMLSchema" xmlns:p="http://schemas.microsoft.com/office/2006/metadata/properties" xmlns:ns3="e8157b91-b22c-4b17-bbf7-47eae007e5c4" targetNamespace="http://schemas.microsoft.com/office/2006/metadata/properties" ma:root="true" ma:fieldsID="2371e4708f2db1d8d3fb8ec630656863" ns3:_="">
    <xsd:import namespace="e8157b91-b22c-4b17-bbf7-47eae007e5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7b91-b22c-4b17-bbf7-47eae007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78F85-873A-4F6B-AB0E-09160188812E}">
  <ds:schemaRefs>
    <ds:schemaRef ds:uri="http://schemas.microsoft.com/sharepoint/v3/contenttype/forms"/>
  </ds:schemaRefs>
</ds:datastoreItem>
</file>

<file path=customXml/itemProps2.xml><?xml version="1.0" encoding="utf-8"?>
<ds:datastoreItem xmlns:ds="http://schemas.openxmlformats.org/officeDocument/2006/customXml" ds:itemID="{6E9B46A1-6095-4C14-B963-019D634F8B74}">
  <ds:schemaRefs>
    <ds:schemaRef ds:uri="http://schemas.openxmlformats.org/officeDocument/2006/bibliography"/>
  </ds:schemaRefs>
</ds:datastoreItem>
</file>

<file path=customXml/itemProps3.xml><?xml version="1.0" encoding="utf-8"?>
<ds:datastoreItem xmlns:ds="http://schemas.openxmlformats.org/officeDocument/2006/customXml" ds:itemID="{2D3FC933-05E7-4221-92D3-BB962B1ED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47C03-1AB3-44A5-9AE9-FB5EAF48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7b91-b22c-4b17-bbf7-47eae007e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Rosanty</dc:creator>
  <cp:keywords/>
  <dc:description/>
  <cp:lastModifiedBy>Anki Agustrin</cp:lastModifiedBy>
  <cp:revision>4</cp:revision>
  <dcterms:created xsi:type="dcterms:W3CDTF">2023-09-09T05:50:00Z</dcterms:created>
  <dcterms:modified xsi:type="dcterms:W3CDTF">2023-09-13T09:14:00Z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2022-02-17T03:26:33Z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20b6be35-9f8e-4199-b912-d9c3659cf4b3</vt:lpwstr>
  </property>
  <property fmtid="{D5CDD505-2E9C-101B-9397-08002B2CF9AE}" pid="8" name="MSIP_Label_4f288355-fb4c-44cd-b9ca-40cfc2aee5f8_ContentBits">
    <vt:lpwstr>0</vt:lpwstr>
  </property>
  <property fmtid="{D5CDD505-2E9C-101B-9397-08002B2CF9AE}" pid="9" name="ContentTypeId">
    <vt:lpwstr>0x01010071F37713CE59D54AA2E2A917B51B6334</vt:lpwstr>
  </property>
</Properties>
</file>